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115" w:type="dxa"/>
          <w:right w:w="115" w:type="dxa"/>
        </w:tblCellMar>
        <w:tblLook w:val="0000"/>
      </w:tblPr>
      <w:tblGrid>
        <w:gridCol w:w="9590"/>
      </w:tblGrid>
      <w:tr w:rsidR="00DD1869" w:rsidRPr="00565A3E" w:rsidTr="00935B13">
        <w:trPr>
          <w:trHeight w:val="2160"/>
        </w:trPr>
        <w:tc>
          <w:tcPr>
            <w:tcW w:w="9590" w:type="dxa"/>
          </w:tcPr>
          <w:p w:rsidR="00DD1869" w:rsidRPr="00565A3E" w:rsidRDefault="00DD1869" w:rsidP="00935B13">
            <w:pPr>
              <w:pStyle w:val="Title"/>
              <w:jc w:val="left"/>
              <w:rPr>
                <w:b w:val="0"/>
              </w:rPr>
            </w:pPr>
            <w:bookmarkStart w:id="0" w:name="_GoBack"/>
            <w:bookmarkStart w:id="1" w:name="OLE_LINK1"/>
            <w:bookmarkEnd w:id="0"/>
          </w:p>
        </w:tc>
      </w:tr>
      <w:tr w:rsidR="00DD1869" w:rsidRPr="00565A3E" w:rsidTr="00935B13">
        <w:tc>
          <w:tcPr>
            <w:tcW w:w="9590" w:type="dxa"/>
          </w:tcPr>
          <w:p w:rsidR="00DD1869" w:rsidRPr="00D32DFA" w:rsidRDefault="00DD1869" w:rsidP="00935B13">
            <w:pPr>
              <w:pStyle w:val="Title"/>
            </w:pPr>
            <w:r w:rsidRPr="00D32DFA">
              <w:t>Project Charter</w:t>
            </w:r>
          </w:p>
          <w:p w:rsidR="00DD1869" w:rsidRDefault="00DD1869" w:rsidP="00935B13">
            <w:pPr>
              <w:pStyle w:val="Title"/>
              <w:rPr>
                <w:b w:val="0"/>
              </w:rPr>
            </w:pPr>
            <w:r>
              <w:rPr>
                <w:b w:val="0"/>
              </w:rPr>
              <w:t>2013 Five-Year Review of the Emissions Management Framework</w:t>
            </w:r>
          </w:p>
          <w:p w:rsidR="00DD1869" w:rsidRPr="00565A3E" w:rsidRDefault="00DD1869" w:rsidP="00935B13">
            <w:pPr>
              <w:pStyle w:val="Title"/>
              <w:rPr>
                <w:b w:val="0"/>
              </w:rPr>
            </w:pPr>
            <w:r>
              <w:rPr>
                <w:b w:val="0"/>
              </w:rPr>
              <w:t xml:space="preserve"> for the Alberta Electricity Sector</w:t>
            </w:r>
          </w:p>
        </w:tc>
      </w:tr>
      <w:tr w:rsidR="00DD1869" w:rsidRPr="00565A3E" w:rsidTr="00935B13">
        <w:trPr>
          <w:trHeight w:val="2880"/>
        </w:trPr>
        <w:tc>
          <w:tcPr>
            <w:tcW w:w="9590" w:type="dxa"/>
            <w:vAlign w:val="center"/>
          </w:tcPr>
          <w:p w:rsidR="00DD1869" w:rsidRPr="00565A3E" w:rsidRDefault="00DD1869" w:rsidP="00935B13">
            <w:pPr>
              <w:pStyle w:val="Title"/>
              <w:rPr>
                <w:b w:val="0"/>
              </w:rPr>
            </w:pPr>
            <w:r>
              <w:rPr>
                <w:noProof/>
                <w:lang w:eastAsia="en-CA"/>
              </w:rPr>
              <w:drawing>
                <wp:inline distT="0" distB="0" distL="0" distR="0">
                  <wp:extent cx="1572895" cy="914400"/>
                  <wp:effectExtent l="0" t="0" r="8255" b="0"/>
                  <wp:docPr id="1" name="Picture 1" descr="CASAbw75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Abw75dpi"/>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572895" cy="914400"/>
                          </a:xfrm>
                          <a:prstGeom prst="rect">
                            <a:avLst/>
                          </a:prstGeom>
                          <a:noFill/>
                          <a:ln>
                            <a:noFill/>
                          </a:ln>
                        </pic:spPr>
                      </pic:pic>
                    </a:graphicData>
                  </a:graphic>
                </wp:inline>
              </w:drawing>
            </w:r>
          </w:p>
        </w:tc>
      </w:tr>
      <w:tr w:rsidR="00DD1869" w:rsidRPr="00565A3E" w:rsidTr="00935B13">
        <w:tc>
          <w:tcPr>
            <w:tcW w:w="9360" w:type="dxa"/>
          </w:tcPr>
          <w:p w:rsidR="00DD1869" w:rsidRPr="00565A3E" w:rsidRDefault="00DD1869" w:rsidP="00935B13">
            <w:pPr>
              <w:pStyle w:val="Title"/>
              <w:rPr>
                <w:b w:val="0"/>
                <w:bCs/>
              </w:rPr>
            </w:pPr>
          </w:p>
          <w:p w:rsidR="00DD1869" w:rsidRPr="00565A3E" w:rsidRDefault="00DD1869" w:rsidP="00935B13">
            <w:pPr>
              <w:pStyle w:val="Title"/>
              <w:rPr>
                <w:b w:val="0"/>
                <w:bCs/>
              </w:rPr>
            </w:pPr>
          </w:p>
          <w:p w:rsidR="00DD1869" w:rsidRPr="00565A3E" w:rsidRDefault="00DD1869" w:rsidP="00935B13">
            <w:pPr>
              <w:pStyle w:val="Title"/>
              <w:spacing w:after="60"/>
              <w:rPr>
                <w:b w:val="0"/>
                <w:bCs/>
              </w:rPr>
            </w:pPr>
            <w:r w:rsidRPr="00565A3E">
              <w:rPr>
                <w:b w:val="0"/>
                <w:bCs/>
              </w:rPr>
              <w:t xml:space="preserve">Prepared by the </w:t>
            </w:r>
          </w:p>
          <w:p w:rsidR="00DD1869" w:rsidRPr="00565A3E" w:rsidRDefault="00DD1869" w:rsidP="00935B13">
            <w:pPr>
              <w:pStyle w:val="Title"/>
              <w:spacing w:after="60"/>
              <w:rPr>
                <w:b w:val="0"/>
                <w:bCs/>
              </w:rPr>
            </w:pPr>
            <w:r>
              <w:rPr>
                <w:b w:val="0"/>
                <w:bCs/>
              </w:rPr>
              <w:t>Electricity Framework Review Working Group</w:t>
            </w:r>
            <w:r w:rsidRPr="00565A3E">
              <w:rPr>
                <w:b w:val="0"/>
                <w:bCs/>
              </w:rPr>
              <w:t xml:space="preserve"> </w:t>
            </w:r>
            <w:r w:rsidRPr="00565A3E">
              <w:rPr>
                <w:b w:val="0"/>
                <w:bCs/>
              </w:rPr>
              <w:br/>
              <w:t>for the</w:t>
            </w:r>
          </w:p>
          <w:p w:rsidR="00DD1869" w:rsidRPr="00565A3E" w:rsidRDefault="00DD1869" w:rsidP="00935B13">
            <w:pPr>
              <w:pStyle w:val="Title"/>
              <w:spacing w:after="60"/>
              <w:rPr>
                <w:b w:val="0"/>
                <w:bCs/>
              </w:rPr>
            </w:pPr>
            <w:r w:rsidRPr="00565A3E">
              <w:rPr>
                <w:b w:val="0"/>
                <w:bCs/>
              </w:rPr>
              <w:t xml:space="preserve">Clean Air Strategic Alliance </w:t>
            </w:r>
          </w:p>
          <w:p w:rsidR="00DD1869" w:rsidRPr="00565A3E" w:rsidRDefault="00DD1869" w:rsidP="00935B13">
            <w:pPr>
              <w:pStyle w:val="Title"/>
              <w:spacing w:after="60"/>
              <w:rPr>
                <w:b w:val="0"/>
              </w:rPr>
            </w:pPr>
            <w:r w:rsidRPr="00565A3E">
              <w:rPr>
                <w:b w:val="0"/>
                <w:bCs/>
              </w:rPr>
              <w:t>Board of Directors</w:t>
            </w:r>
          </w:p>
        </w:tc>
      </w:tr>
      <w:tr w:rsidR="00DD1869" w:rsidRPr="00565A3E" w:rsidTr="00935B13">
        <w:trPr>
          <w:trHeight w:val="2160"/>
        </w:trPr>
        <w:tc>
          <w:tcPr>
            <w:tcW w:w="9360" w:type="dxa"/>
          </w:tcPr>
          <w:p w:rsidR="00DD1869" w:rsidRPr="00565A3E" w:rsidRDefault="00DD1869" w:rsidP="00935B13">
            <w:pPr>
              <w:pStyle w:val="Title"/>
              <w:jc w:val="left"/>
              <w:rPr>
                <w:b w:val="0"/>
              </w:rPr>
            </w:pPr>
          </w:p>
        </w:tc>
      </w:tr>
      <w:tr w:rsidR="00DD1869" w:rsidRPr="00565A3E" w:rsidTr="00935B13">
        <w:tc>
          <w:tcPr>
            <w:tcW w:w="9360" w:type="dxa"/>
          </w:tcPr>
          <w:p w:rsidR="00DD1869" w:rsidRPr="00565A3E" w:rsidRDefault="00DD1869" w:rsidP="00DD1869">
            <w:pPr>
              <w:pStyle w:val="Title"/>
              <w:rPr>
                <w:b w:val="0"/>
              </w:rPr>
            </w:pPr>
            <w:r>
              <w:rPr>
                <w:b w:val="0"/>
              </w:rPr>
              <w:t>Match 4, 2013</w:t>
            </w:r>
          </w:p>
        </w:tc>
      </w:tr>
      <w:tr w:rsidR="00DD1869" w:rsidRPr="00565A3E" w:rsidTr="00935B13">
        <w:tc>
          <w:tcPr>
            <w:tcW w:w="9360" w:type="dxa"/>
          </w:tcPr>
          <w:p w:rsidR="00DD1869" w:rsidRPr="00565A3E" w:rsidRDefault="00DD1869" w:rsidP="00935B13">
            <w:pPr>
              <w:pStyle w:val="Title"/>
              <w:jc w:val="left"/>
              <w:rPr>
                <w:b w:val="0"/>
                <w:bCs/>
              </w:rPr>
            </w:pPr>
          </w:p>
        </w:tc>
      </w:tr>
      <w:bookmarkEnd w:id="1"/>
    </w:tbl>
    <w:p w:rsidR="00DD1869" w:rsidRDefault="00DD1869">
      <w:pPr>
        <w:spacing w:after="200" w:line="276" w:lineRule="auto"/>
        <w:rPr>
          <w:rFonts w:ascii="Times New Roman" w:hAnsi="Times New Roman"/>
          <w:sz w:val="24"/>
          <w:u w:val="single"/>
          <w:lang w:val="en-CA"/>
        </w:rPr>
      </w:pPr>
      <w:r>
        <w:rPr>
          <w:rFonts w:ascii="Times New Roman" w:hAnsi="Times New Roman"/>
          <w:sz w:val="24"/>
          <w:u w:val="single"/>
          <w:lang w:val="en-CA"/>
        </w:rPr>
        <w:br w:type="page"/>
      </w:r>
    </w:p>
    <w:p w:rsidR="00834294" w:rsidRDefault="00834294" w:rsidP="00834294">
      <w:pPr>
        <w:rPr>
          <w:rFonts w:ascii="Times New Roman" w:hAnsi="Times New Roman"/>
          <w:sz w:val="24"/>
          <w:u w:val="single"/>
          <w:lang w:val="en-CA"/>
        </w:rPr>
      </w:pPr>
    </w:p>
    <w:sdt>
      <w:sdtPr>
        <w:rPr>
          <w:rFonts w:ascii="GarmdITC Bk BT" w:eastAsia="Calibri" w:hAnsi="GarmdITC Bk BT" w:cs="Times New Roman"/>
          <w:b w:val="0"/>
          <w:bCs w:val="0"/>
          <w:color w:val="auto"/>
          <w:sz w:val="22"/>
          <w:szCs w:val="22"/>
          <w:lang w:eastAsia="en-US"/>
        </w:rPr>
        <w:id w:val="-1661539749"/>
        <w:docPartObj>
          <w:docPartGallery w:val="Table of Contents"/>
          <w:docPartUnique/>
        </w:docPartObj>
      </w:sdtPr>
      <w:sdtEndPr>
        <w:rPr>
          <w:noProof/>
        </w:rPr>
      </w:sdtEndPr>
      <w:sdtContent>
        <w:p w:rsidR="00B43378" w:rsidRDefault="00B43378">
          <w:pPr>
            <w:pStyle w:val="TOCHeading"/>
          </w:pPr>
          <w:r>
            <w:t>Table of Contents</w:t>
          </w:r>
        </w:p>
        <w:p w:rsidR="00DC347B" w:rsidRDefault="00200C93">
          <w:pPr>
            <w:pStyle w:val="TOC1"/>
            <w:tabs>
              <w:tab w:val="right" w:leader="dot" w:pos="9350"/>
            </w:tabs>
            <w:rPr>
              <w:rFonts w:asciiTheme="minorHAnsi" w:eastAsiaTheme="minorEastAsia" w:hAnsiTheme="minorHAnsi" w:cstheme="minorBidi"/>
              <w:noProof/>
            </w:rPr>
          </w:pPr>
          <w:r w:rsidRPr="00200C93">
            <w:fldChar w:fldCharType="begin"/>
          </w:r>
          <w:r w:rsidR="00B43378">
            <w:instrText xml:space="preserve"> TOC \o "1-3" \h \z \u </w:instrText>
          </w:r>
          <w:r w:rsidRPr="00200C93">
            <w:fldChar w:fldCharType="separate"/>
          </w:r>
          <w:hyperlink w:anchor="_Toc350177517" w:history="1">
            <w:r w:rsidR="00DC347B" w:rsidRPr="002571CB">
              <w:rPr>
                <w:rStyle w:val="Hyperlink"/>
                <w:noProof/>
                <w:lang w:val="en-CA"/>
              </w:rPr>
              <w:t>Project goal</w:t>
            </w:r>
            <w:r w:rsidR="00DC347B">
              <w:rPr>
                <w:noProof/>
                <w:webHidden/>
              </w:rPr>
              <w:tab/>
            </w:r>
            <w:r>
              <w:rPr>
                <w:noProof/>
                <w:webHidden/>
              </w:rPr>
              <w:fldChar w:fldCharType="begin"/>
            </w:r>
            <w:r w:rsidR="00DC347B">
              <w:rPr>
                <w:noProof/>
                <w:webHidden/>
              </w:rPr>
              <w:instrText xml:space="preserve"> PAGEREF _Toc350177517 \h </w:instrText>
            </w:r>
            <w:r>
              <w:rPr>
                <w:noProof/>
                <w:webHidden/>
              </w:rPr>
            </w:r>
            <w:r>
              <w:rPr>
                <w:noProof/>
                <w:webHidden/>
              </w:rPr>
              <w:fldChar w:fldCharType="separate"/>
            </w:r>
            <w:r w:rsidR="007C3F35">
              <w:rPr>
                <w:noProof/>
                <w:webHidden/>
              </w:rPr>
              <w:t>3</w:t>
            </w:r>
            <w:r>
              <w:rPr>
                <w:noProof/>
                <w:webHidden/>
              </w:rPr>
              <w:fldChar w:fldCharType="end"/>
            </w:r>
          </w:hyperlink>
        </w:p>
        <w:p w:rsidR="00DC347B" w:rsidRDefault="00200C93">
          <w:pPr>
            <w:pStyle w:val="TOC1"/>
            <w:tabs>
              <w:tab w:val="right" w:leader="dot" w:pos="9350"/>
            </w:tabs>
            <w:rPr>
              <w:rFonts w:asciiTheme="minorHAnsi" w:eastAsiaTheme="minorEastAsia" w:hAnsiTheme="minorHAnsi" w:cstheme="minorBidi"/>
              <w:noProof/>
            </w:rPr>
          </w:pPr>
          <w:hyperlink w:anchor="_Toc350177518" w:history="1">
            <w:r w:rsidR="00DC347B" w:rsidRPr="002571CB">
              <w:rPr>
                <w:rStyle w:val="Hyperlink"/>
                <w:noProof/>
                <w:lang w:val="en-CA"/>
              </w:rPr>
              <w:t>Background</w:t>
            </w:r>
            <w:r w:rsidR="00DC347B">
              <w:rPr>
                <w:noProof/>
                <w:webHidden/>
              </w:rPr>
              <w:tab/>
            </w:r>
            <w:r>
              <w:rPr>
                <w:noProof/>
                <w:webHidden/>
              </w:rPr>
              <w:fldChar w:fldCharType="begin"/>
            </w:r>
            <w:r w:rsidR="00DC347B">
              <w:rPr>
                <w:noProof/>
                <w:webHidden/>
              </w:rPr>
              <w:instrText xml:space="preserve"> PAGEREF _Toc350177518 \h </w:instrText>
            </w:r>
            <w:r>
              <w:rPr>
                <w:noProof/>
                <w:webHidden/>
              </w:rPr>
            </w:r>
            <w:r>
              <w:rPr>
                <w:noProof/>
                <w:webHidden/>
              </w:rPr>
              <w:fldChar w:fldCharType="separate"/>
            </w:r>
            <w:r w:rsidR="007C3F35">
              <w:rPr>
                <w:noProof/>
                <w:webHidden/>
              </w:rPr>
              <w:t>3</w:t>
            </w:r>
            <w:r>
              <w:rPr>
                <w:noProof/>
                <w:webHidden/>
              </w:rPr>
              <w:fldChar w:fldCharType="end"/>
            </w:r>
          </w:hyperlink>
        </w:p>
        <w:p w:rsidR="00DC347B" w:rsidRDefault="00200C93">
          <w:pPr>
            <w:pStyle w:val="TOC1"/>
            <w:tabs>
              <w:tab w:val="right" w:leader="dot" w:pos="9350"/>
            </w:tabs>
            <w:rPr>
              <w:rFonts w:asciiTheme="minorHAnsi" w:eastAsiaTheme="minorEastAsia" w:hAnsiTheme="minorHAnsi" w:cstheme="minorBidi"/>
              <w:noProof/>
            </w:rPr>
          </w:pPr>
          <w:hyperlink w:anchor="_Toc350177519" w:history="1">
            <w:r w:rsidR="00DC347B" w:rsidRPr="002571CB">
              <w:rPr>
                <w:rStyle w:val="Hyperlink"/>
                <w:noProof/>
                <w:lang w:val="en-CA"/>
              </w:rPr>
              <w:t>Project Objectives</w:t>
            </w:r>
            <w:r w:rsidR="00DC347B">
              <w:rPr>
                <w:noProof/>
                <w:webHidden/>
              </w:rPr>
              <w:tab/>
            </w:r>
            <w:r>
              <w:rPr>
                <w:noProof/>
                <w:webHidden/>
              </w:rPr>
              <w:fldChar w:fldCharType="begin"/>
            </w:r>
            <w:r w:rsidR="00DC347B">
              <w:rPr>
                <w:noProof/>
                <w:webHidden/>
              </w:rPr>
              <w:instrText xml:space="preserve"> PAGEREF _Toc350177519 \h </w:instrText>
            </w:r>
            <w:r>
              <w:rPr>
                <w:noProof/>
                <w:webHidden/>
              </w:rPr>
            </w:r>
            <w:r>
              <w:rPr>
                <w:noProof/>
                <w:webHidden/>
              </w:rPr>
              <w:fldChar w:fldCharType="separate"/>
            </w:r>
            <w:r w:rsidR="007C3F35">
              <w:rPr>
                <w:noProof/>
                <w:webHidden/>
              </w:rPr>
              <w:t>4</w:t>
            </w:r>
            <w:r>
              <w:rPr>
                <w:noProof/>
                <w:webHidden/>
              </w:rPr>
              <w:fldChar w:fldCharType="end"/>
            </w:r>
          </w:hyperlink>
        </w:p>
        <w:p w:rsidR="00DC347B" w:rsidRDefault="00200C93">
          <w:pPr>
            <w:pStyle w:val="TOC1"/>
            <w:tabs>
              <w:tab w:val="right" w:leader="dot" w:pos="9350"/>
            </w:tabs>
            <w:rPr>
              <w:rFonts w:asciiTheme="minorHAnsi" w:eastAsiaTheme="minorEastAsia" w:hAnsiTheme="minorHAnsi" w:cstheme="minorBidi"/>
              <w:noProof/>
            </w:rPr>
          </w:pPr>
          <w:hyperlink w:anchor="_Toc350177520" w:history="1">
            <w:r w:rsidR="00DC347B" w:rsidRPr="002571CB">
              <w:rPr>
                <w:rStyle w:val="Hyperlink"/>
                <w:noProof/>
                <w:lang w:val="en-CA"/>
              </w:rPr>
              <w:t>Project Scope</w:t>
            </w:r>
            <w:r w:rsidR="00DC347B">
              <w:rPr>
                <w:noProof/>
                <w:webHidden/>
              </w:rPr>
              <w:tab/>
            </w:r>
            <w:r>
              <w:rPr>
                <w:noProof/>
                <w:webHidden/>
              </w:rPr>
              <w:fldChar w:fldCharType="begin"/>
            </w:r>
            <w:r w:rsidR="00DC347B">
              <w:rPr>
                <w:noProof/>
                <w:webHidden/>
              </w:rPr>
              <w:instrText xml:space="preserve"> PAGEREF _Toc350177520 \h </w:instrText>
            </w:r>
            <w:r>
              <w:rPr>
                <w:noProof/>
                <w:webHidden/>
              </w:rPr>
            </w:r>
            <w:r>
              <w:rPr>
                <w:noProof/>
                <w:webHidden/>
              </w:rPr>
              <w:fldChar w:fldCharType="separate"/>
            </w:r>
            <w:r w:rsidR="007C3F35">
              <w:rPr>
                <w:noProof/>
                <w:webHidden/>
              </w:rPr>
              <w:t>8</w:t>
            </w:r>
            <w:r>
              <w:rPr>
                <w:noProof/>
                <w:webHidden/>
              </w:rPr>
              <w:fldChar w:fldCharType="end"/>
            </w:r>
          </w:hyperlink>
        </w:p>
        <w:p w:rsidR="00DC347B" w:rsidRDefault="00200C93">
          <w:pPr>
            <w:pStyle w:val="TOC1"/>
            <w:tabs>
              <w:tab w:val="right" w:leader="dot" w:pos="9350"/>
            </w:tabs>
            <w:rPr>
              <w:rFonts w:asciiTheme="minorHAnsi" w:eastAsiaTheme="minorEastAsia" w:hAnsiTheme="minorHAnsi" w:cstheme="minorBidi"/>
              <w:noProof/>
            </w:rPr>
          </w:pPr>
          <w:hyperlink w:anchor="_Toc350177521" w:history="1">
            <w:r w:rsidR="00DC347B" w:rsidRPr="002571CB">
              <w:rPr>
                <w:rStyle w:val="Hyperlink"/>
                <w:noProof/>
                <w:lang w:val="en-CA"/>
              </w:rPr>
              <w:t>Project Deliverables</w:t>
            </w:r>
            <w:r w:rsidR="00DC347B">
              <w:rPr>
                <w:noProof/>
                <w:webHidden/>
              </w:rPr>
              <w:tab/>
            </w:r>
            <w:r>
              <w:rPr>
                <w:noProof/>
                <w:webHidden/>
              </w:rPr>
              <w:fldChar w:fldCharType="begin"/>
            </w:r>
            <w:r w:rsidR="00DC347B">
              <w:rPr>
                <w:noProof/>
                <w:webHidden/>
              </w:rPr>
              <w:instrText xml:space="preserve"> PAGEREF _Toc350177521 \h </w:instrText>
            </w:r>
            <w:r>
              <w:rPr>
                <w:noProof/>
                <w:webHidden/>
              </w:rPr>
            </w:r>
            <w:r>
              <w:rPr>
                <w:noProof/>
                <w:webHidden/>
              </w:rPr>
              <w:fldChar w:fldCharType="separate"/>
            </w:r>
            <w:r w:rsidR="007C3F35">
              <w:rPr>
                <w:noProof/>
                <w:webHidden/>
              </w:rPr>
              <w:t>9</w:t>
            </w:r>
            <w:r>
              <w:rPr>
                <w:noProof/>
                <w:webHidden/>
              </w:rPr>
              <w:fldChar w:fldCharType="end"/>
            </w:r>
          </w:hyperlink>
        </w:p>
        <w:p w:rsidR="00DC347B" w:rsidRDefault="00200C93">
          <w:pPr>
            <w:pStyle w:val="TOC1"/>
            <w:tabs>
              <w:tab w:val="right" w:leader="dot" w:pos="9350"/>
            </w:tabs>
            <w:rPr>
              <w:rFonts w:asciiTheme="minorHAnsi" w:eastAsiaTheme="minorEastAsia" w:hAnsiTheme="minorHAnsi" w:cstheme="minorBidi"/>
              <w:noProof/>
            </w:rPr>
          </w:pPr>
          <w:hyperlink w:anchor="_Toc350177522" w:history="1">
            <w:r w:rsidR="00DC347B" w:rsidRPr="002571CB">
              <w:rPr>
                <w:rStyle w:val="Hyperlink"/>
                <w:noProof/>
                <w:lang w:val="en-CA"/>
              </w:rPr>
              <w:t>Project Structure and Schedule</w:t>
            </w:r>
            <w:r w:rsidR="00DC347B">
              <w:rPr>
                <w:noProof/>
                <w:webHidden/>
              </w:rPr>
              <w:tab/>
            </w:r>
            <w:r>
              <w:rPr>
                <w:noProof/>
                <w:webHidden/>
              </w:rPr>
              <w:fldChar w:fldCharType="begin"/>
            </w:r>
            <w:r w:rsidR="00DC347B">
              <w:rPr>
                <w:noProof/>
                <w:webHidden/>
              </w:rPr>
              <w:instrText xml:space="preserve"> PAGEREF _Toc350177522 \h </w:instrText>
            </w:r>
            <w:r>
              <w:rPr>
                <w:noProof/>
                <w:webHidden/>
              </w:rPr>
            </w:r>
            <w:r>
              <w:rPr>
                <w:noProof/>
                <w:webHidden/>
              </w:rPr>
              <w:fldChar w:fldCharType="separate"/>
            </w:r>
            <w:r w:rsidR="007C3F35">
              <w:rPr>
                <w:noProof/>
                <w:webHidden/>
              </w:rPr>
              <w:t>9</w:t>
            </w:r>
            <w:r>
              <w:rPr>
                <w:noProof/>
                <w:webHidden/>
              </w:rPr>
              <w:fldChar w:fldCharType="end"/>
            </w:r>
          </w:hyperlink>
        </w:p>
        <w:p w:rsidR="00DC347B" w:rsidRDefault="00200C93">
          <w:pPr>
            <w:pStyle w:val="TOC1"/>
            <w:tabs>
              <w:tab w:val="right" w:leader="dot" w:pos="9350"/>
            </w:tabs>
            <w:rPr>
              <w:rFonts w:asciiTheme="minorHAnsi" w:eastAsiaTheme="minorEastAsia" w:hAnsiTheme="minorHAnsi" w:cstheme="minorBidi"/>
              <w:noProof/>
            </w:rPr>
          </w:pPr>
          <w:hyperlink w:anchor="_Toc350177523" w:history="1">
            <w:r w:rsidR="00DC347B" w:rsidRPr="002571CB">
              <w:rPr>
                <w:rStyle w:val="Hyperlink"/>
                <w:noProof/>
                <w:lang w:val="en-CA"/>
              </w:rPr>
              <w:t>Project Risk Analysis</w:t>
            </w:r>
            <w:r w:rsidR="00DC347B">
              <w:rPr>
                <w:noProof/>
                <w:webHidden/>
              </w:rPr>
              <w:tab/>
            </w:r>
            <w:r>
              <w:rPr>
                <w:noProof/>
                <w:webHidden/>
              </w:rPr>
              <w:fldChar w:fldCharType="begin"/>
            </w:r>
            <w:r w:rsidR="00DC347B">
              <w:rPr>
                <w:noProof/>
                <w:webHidden/>
              </w:rPr>
              <w:instrText xml:space="preserve"> PAGEREF _Toc350177523 \h </w:instrText>
            </w:r>
            <w:r>
              <w:rPr>
                <w:noProof/>
                <w:webHidden/>
              </w:rPr>
            </w:r>
            <w:r>
              <w:rPr>
                <w:noProof/>
                <w:webHidden/>
              </w:rPr>
              <w:fldChar w:fldCharType="separate"/>
            </w:r>
            <w:r w:rsidR="007C3F35">
              <w:rPr>
                <w:noProof/>
                <w:webHidden/>
              </w:rPr>
              <w:t>9</w:t>
            </w:r>
            <w:r>
              <w:rPr>
                <w:noProof/>
                <w:webHidden/>
              </w:rPr>
              <w:fldChar w:fldCharType="end"/>
            </w:r>
          </w:hyperlink>
        </w:p>
        <w:p w:rsidR="00DC347B" w:rsidRDefault="00200C93">
          <w:pPr>
            <w:pStyle w:val="TOC1"/>
            <w:tabs>
              <w:tab w:val="right" w:leader="dot" w:pos="9350"/>
            </w:tabs>
            <w:rPr>
              <w:rFonts w:asciiTheme="minorHAnsi" w:eastAsiaTheme="minorEastAsia" w:hAnsiTheme="minorHAnsi" w:cstheme="minorBidi"/>
              <w:noProof/>
            </w:rPr>
          </w:pPr>
          <w:hyperlink w:anchor="_Toc350177524" w:history="1">
            <w:r w:rsidR="00DC347B" w:rsidRPr="002571CB">
              <w:rPr>
                <w:rStyle w:val="Hyperlink"/>
                <w:noProof/>
                <w:lang w:val="en-CA"/>
              </w:rPr>
              <w:t>Projected Resources</w:t>
            </w:r>
            <w:r w:rsidR="00DC347B">
              <w:rPr>
                <w:noProof/>
                <w:webHidden/>
              </w:rPr>
              <w:tab/>
            </w:r>
            <w:r>
              <w:rPr>
                <w:noProof/>
                <w:webHidden/>
              </w:rPr>
              <w:fldChar w:fldCharType="begin"/>
            </w:r>
            <w:r w:rsidR="00DC347B">
              <w:rPr>
                <w:noProof/>
                <w:webHidden/>
              </w:rPr>
              <w:instrText xml:space="preserve"> PAGEREF _Toc350177524 \h </w:instrText>
            </w:r>
            <w:r>
              <w:rPr>
                <w:noProof/>
                <w:webHidden/>
              </w:rPr>
            </w:r>
            <w:r>
              <w:rPr>
                <w:noProof/>
                <w:webHidden/>
              </w:rPr>
              <w:fldChar w:fldCharType="separate"/>
            </w:r>
            <w:r w:rsidR="007C3F35">
              <w:rPr>
                <w:noProof/>
                <w:webHidden/>
              </w:rPr>
              <w:t>10</w:t>
            </w:r>
            <w:r>
              <w:rPr>
                <w:noProof/>
                <w:webHidden/>
              </w:rPr>
              <w:fldChar w:fldCharType="end"/>
            </w:r>
          </w:hyperlink>
        </w:p>
        <w:p w:rsidR="00DC347B" w:rsidRDefault="00200C93">
          <w:pPr>
            <w:pStyle w:val="TOC1"/>
            <w:tabs>
              <w:tab w:val="right" w:leader="dot" w:pos="9350"/>
            </w:tabs>
            <w:rPr>
              <w:rFonts w:asciiTheme="minorHAnsi" w:eastAsiaTheme="minorEastAsia" w:hAnsiTheme="minorHAnsi" w:cstheme="minorBidi"/>
              <w:noProof/>
            </w:rPr>
          </w:pPr>
          <w:hyperlink w:anchor="_Toc350177525" w:history="1">
            <w:r w:rsidR="00DC347B" w:rsidRPr="002571CB">
              <w:rPr>
                <w:rStyle w:val="Hyperlink"/>
                <w:noProof/>
                <w:lang w:val="en-CA"/>
              </w:rPr>
              <w:t>Stakeholder Analysis and Engagement Plan</w:t>
            </w:r>
            <w:r w:rsidR="00DC347B">
              <w:rPr>
                <w:noProof/>
                <w:webHidden/>
              </w:rPr>
              <w:tab/>
            </w:r>
            <w:r>
              <w:rPr>
                <w:noProof/>
                <w:webHidden/>
              </w:rPr>
              <w:fldChar w:fldCharType="begin"/>
            </w:r>
            <w:r w:rsidR="00DC347B">
              <w:rPr>
                <w:noProof/>
                <w:webHidden/>
              </w:rPr>
              <w:instrText xml:space="preserve"> PAGEREF _Toc350177525 \h </w:instrText>
            </w:r>
            <w:r>
              <w:rPr>
                <w:noProof/>
                <w:webHidden/>
              </w:rPr>
            </w:r>
            <w:r>
              <w:rPr>
                <w:noProof/>
                <w:webHidden/>
              </w:rPr>
              <w:fldChar w:fldCharType="separate"/>
            </w:r>
            <w:r w:rsidR="007C3F35">
              <w:rPr>
                <w:noProof/>
                <w:webHidden/>
              </w:rPr>
              <w:t>11</w:t>
            </w:r>
            <w:r>
              <w:rPr>
                <w:noProof/>
                <w:webHidden/>
              </w:rPr>
              <w:fldChar w:fldCharType="end"/>
            </w:r>
          </w:hyperlink>
        </w:p>
        <w:p w:rsidR="00DC347B" w:rsidRDefault="00200C93">
          <w:pPr>
            <w:pStyle w:val="TOC1"/>
            <w:tabs>
              <w:tab w:val="right" w:leader="dot" w:pos="9350"/>
            </w:tabs>
            <w:rPr>
              <w:rFonts w:asciiTheme="minorHAnsi" w:eastAsiaTheme="minorEastAsia" w:hAnsiTheme="minorHAnsi" w:cstheme="minorBidi"/>
              <w:noProof/>
            </w:rPr>
          </w:pPr>
          <w:hyperlink w:anchor="_Toc350177526" w:history="1">
            <w:r w:rsidR="00DC347B" w:rsidRPr="002571CB">
              <w:rPr>
                <w:rStyle w:val="Hyperlink"/>
                <w:noProof/>
              </w:rPr>
              <w:t>Appendix I – Managing Air Emissions in the Electricity Sector</w:t>
            </w:r>
            <w:r w:rsidR="00DC347B">
              <w:rPr>
                <w:noProof/>
                <w:webHidden/>
              </w:rPr>
              <w:tab/>
            </w:r>
            <w:r>
              <w:rPr>
                <w:noProof/>
                <w:webHidden/>
              </w:rPr>
              <w:fldChar w:fldCharType="begin"/>
            </w:r>
            <w:r w:rsidR="00DC347B">
              <w:rPr>
                <w:noProof/>
                <w:webHidden/>
              </w:rPr>
              <w:instrText xml:space="preserve"> PAGEREF _Toc350177526 \h </w:instrText>
            </w:r>
            <w:r>
              <w:rPr>
                <w:noProof/>
                <w:webHidden/>
              </w:rPr>
            </w:r>
            <w:r>
              <w:rPr>
                <w:noProof/>
                <w:webHidden/>
              </w:rPr>
              <w:fldChar w:fldCharType="separate"/>
            </w:r>
            <w:r w:rsidR="007C3F35">
              <w:rPr>
                <w:noProof/>
                <w:webHidden/>
              </w:rPr>
              <w:t>12</w:t>
            </w:r>
            <w:r>
              <w:rPr>
                <w:noProof/>
                <w:webHidden/>
              </w:rPr>
              <w:fldChar w:fldCharType="end"/>
            </w:r>
          </w:hyperlink>
        </w:p>
        <w:p w:rsidR="00DC347B" w:rsidRDefault="00200C93">
          <w:pPr>
            <w:pStyle w:val="TOC1"/>
            <w:tabs>
              <w:tab w:val="right" w:leader="dot" w:pos="9350"/>
            </w:tabs>
            <w:rPr>
              <w:rFonts w:asciiTheme="minorHAnsi" w:eastAsiaTheme="minorEastAsia" w:hAnsiTheme="minorHAnsi" w:cstheme="minorBidi"/>
              <w:noProof/>
            </w:rPr>
          </w:pPr>
          <w:hyperlink w:anchor="_Toc350177527" w:history="1">
            <w:r w:rsidR="00DC347B" w:rsidRPr="002571CB">
              <w:rPr>
                <w:rStyle w:val="Hyperlink"/>
                <w:noProof/>
              </w:rPr>
              <w:t>Appendix II – Past Participants on the 2003 Electricity Project Team and the 2008 Electricity Framework Review Team</w:t>
            </w:r>
            <w:r w:rsidR="00DC347B">
              <w:rPr>
                <w:noProof/>
                <w:webHidden/>
              </w:rPr>
              <w:tab/>
            </w:r>
            <w:r>
              <w:rPr>
                <w:noProof/>
                <w:webHidden/>
              </w:rPr>
              <w:fldChar w:fldCharType="begin"/>
            </w:r>
            <w:r w:rsidR="00DC347B">
              <w:rPr>
                <w:noProof/>
                <w:webHidden/>
              </w:rPr>
              <w:instrText xml:space="preserve"> PAGEREF _Toc350177527 \h </w:instrText>
            </w:r>
            <w:r>
              <w:rPr>
                <w:noProof/>
                <w:webHidden/>
              </w:rPr>
            </w:r>
            <w:r>
              <w:rPr>
                <w:noProof/>
                <w:webHidden/>
              </w:rPr>
              <w:fldChar w:fldCharType="separate"/>
            </w:r>
            <w:r w:rsidR="007C3F35">
              <w:rPr>
                <w:noProof/>
                <w:webHidden/>
              </w:rPr>
              <w:t>13</w:t>
            </w:r>
            <w:r>
              <w:rPr>
                <w:noProof/>
                <w:webHidden/>
              </w:rPr>
              <w:fldChar w:fldCharType="end"/>
            </w:r>
          </w:hyperlink>
        </w:p>
        <w:p w:rsidR="00DC347B" w:rsidRDefault="00200C93">
          <w:pPr>
            <w:pStyle w:val="TOC3"/>
            <w:tabs>
              <w:tab w:val="right" w:leader="dot" w:pos="9350"/>
            </w:tabs>
            <w:rPr>
              <w:rFonts w:asciiTheme="minorHAnsi" w:eastAsiaTheme="minorEastAsia" w:hAnsiTheme="minorHAnsi" w:cstheme="minorBidi"/>
              <w:noProof/>
            </w:rPr>
          </w:pPr>
          <w:hyperlink w:anchor="_Toc350177528" w:history="1">
            <w:r w:rsidR="00DC347B" w:rsidRPr="002571CB">
              <w:rPr>
                <w:rStyle w:val="Hyperlink"/>
                <w:noProof/>
              </w:rPr>
              <w:t>Government</w:t>
            </w:r>
            <w:r w:rsidR="00DC347B">
              <w:rPr>
                <w:noProof/>
                <w:webHidden/>
              </w:rPr>
              <w:tab/>
            </w:r>
            <w:r>
              <w:rPr>
                <w:noProof/>
                <w:webHidden/>
              </w:rPr>
              <w:fldChar w:fldCharType="begin"/>
            </w:r>
            <w:r w:rsidR="00DC347B">
              <w:rPr>
                <w:noProof/>
                <w:webHidden/>
              </w:rPr>
              <w:instrText xml:space="preserve"> PAGEREF _Toc350177528 \h </w:instrText>
            </w:r>
            <w:r>
              <w:rPr>
                <w:noProof/>
                <w:webHidden/>
              </w:rPr>
            </w:r>
            <w:r>
              <w:rPr>
                <w:noProof/>
                <w:webHidden/>
              </w:rPr>
              <w:fldChar w:fldCharType="separate"/>
            </w:r>
            <w:r w:rsidR="007C3F35">
              <w:rPr>
                <w:noProof/>
                <w:webHidden/>
              </w:rPr>
              <w:t>13</w:t>
            </w:r>
            <w:r>
              <w:rPr>
                <w:noProof/>
                <w:webHidden/>
              </w:rPr>
              <w:fldChar w:fldCharType="end"/>
            </w:r>
          </w:hyperlink>
        </w:p>
        <w:p w:rsidR="00DC347B" w:rsidRDefault="00200C93">
          <w:pPr>
            <w:pStyle w:val="TOC3"/>
            <w:tabs>
              <w:tab w:val="right" w:leader="dot" w:pos="9350"/>
            </w:tabs>
            <w:rPr>
              <w:rFonts w:asciiTheme="minorHAnsi" w:eastAsiaTheme="minorEastAsia" w:hAnsiTheme="minorHAnsi" w:cstheme="minorBidi"/>
              <w:noProof/>
            </w:rPr>
          </w:pPr>
          <w:hyperlink w:anchor="_Toc350177529" w:history="1">
            <w:r w:rsidR="00DC347B" w:rsidRPr="002571CB">
              <w:rPr>
                <w:rStyle w:val="Hyperlink"/>
                <w:noProof/>
              </w:rPr>
              <w:t>Industry</w:t>
            </w:r>
            <w:r w:rsidR="00DC347B">
              <w:rPr>
                <w:noProof/>
                <w:webHidden/>
              </w:rPr>
              <w:tab/>
            </w:r>
            <w:r>
              <w:rPr>
                <w:noProof/>
                <w:webHidden/>
              </w:rPr>
              <w:fldChar w:fldCharType="begin"/>
            </w:r>
            <w:r w:rsidR="00DC347B">
              <w:rPr>
                <w:noProof/>
                <w:webHidden/>
              </w:rPr>
              <w:instrText xml:space="preserve"> PAGEREF _Toc350177529 \h </w:instrText>
            </w:r>
            <w:r>
              <w:rPr>
                <w:noProof/>
                <w:webHidden/>
              </w:rPr>
            </w:r>
            <w:r>
              <w:rPr>
                <w:noProof/>
                <w:webHidden/>
              </w:rPr>
              <w:fldChar w:fldCharType="separate"/>
            </w:r>
            <w:r w:rsidR="007C3F35">
              <w:rPr>
                <w:noProof/>
                <w:webHidden/>
              </w:rPr>
              <w:t>13</w:t>
            </w:r>
            <w:r>
              <w:rPr>
                <w:noProof/>
                <w:webHidden/>
              </w:rPr>
              <w:fldChar w:fldCharType="end"/>
            </w:r>
          </w:hyperlink>
        </w:p>
        <w:p w:rsidR="00DC347B" w:rsidRDefault="00200C93">
          <w:pPr>
            <w:pStyle w:val="TOC3"/>
            <w:tabs>
              <w:tab w:val="right" w:leader="dot" w:pos="9350"/>
            </w:tabs>
            <w:rPr>
              <w:rFonts w:asciiTheme="minorHAnsi" w:eastAsiaTheme="minorEastAsia" w:hAnsiTheme="minorHAnsi" w:cstheme="minorBidi"/>
              <w:noProof/>
            </w:rPr>
          </w:pPr>
          <w:hyperlink w:anchor="_Toc350177530" w:history="1">
            <w:r w:rsidR="00DC347B" w:rsidRPr="002571CB">
              <w:rPr>
                <w:rStyle w:val="Hyperlink"/>
                <w:noProof/>
              </w:rPr>
              <w:t>Non-Government Organizations</w:t>
            </w:r>
            <w:r w:rsidR="00DC347B">
              <w:rPr>
                <w:noProof/>
                <w:webHidden/>
              </w:rPr>
              <w:tab/>
            </w:r>
            <w:r>
              <w:rPr>
                <w:noProof/>
                <w:webHidden/>
              </w:rPr>
              <w:fldChar w:fldCharType="begin"/>
            </w:r>
            <w:r w:rsidR="00DC347B">
              <w:rPr>
                <w:noProof/>
                <w:webHidden/>
              </w:rPr>
              <w:instrText xml:space="preserve"> PAGEREF _Toc350177530 \h </w:instrText>
            </w:r>
            <w:r>
              <w:rPr>
                <w:noProof/>
                <w:webHidden/>
              </w:rPr>
            </w:r>
            <w:r>
              <w:rPr>
                <w:noProof/>
                <w:webHidden/>
              </w:rPr>
              <w:fldChar w:fldCharType="separate"/>
            </w:r>
            <w:r w:rsidR="007C3F35">
              <w:rPr>
                <w:noProof/>
                <w:webHidden/>
              </w:rPr>
              <w:t>14</w:t>
            </w:r>
            <w:r>
              <w:rPr>
                <w:noProof/>
                <w:webHidden/>
              </w:rPr>
              <w:fldChar w:fldCharType="end"/>
            </w:r>
          </w:hyperlink>
        </w:p>
        <w:p w:rsidR="00B43378" w:rsidRDefault="00200C93">
          <w:r>
            <w:rPr>
              <w:b/>
              <w:bCs/>
              <w:noProof/>
            </w:rPr>
            <w:fldChar w:fldCharType="end"/>
          </w:r>
        </w:p>
      </w:sdtContent>
    </w:sdt>
    <w:p w:rsidR="00B43378" w:rsidRDefault="00B43378" w:rsidP="00834294">
      <w:pPr>
        <w:rPr>
          <w:rFonts w:ascii="Times New Roman" w:hAnsi="Times New Roman"/>
          <w:b/>
          <w:sz w:val="24"/>
          <w:lang w:val="en-CA"/>
        </w:rPr>
      </w:pPr>
    </w:p>
    <w:p w:rsidR="00B43378" w:rsidRDefault="00B43378">
      <w:pPr>
        <w:spacing w:after="200" w:line="276" w:lineRule="auto"/>
        <w:rPr>
          <w:rFonts w:ascii="Times New Roman" w:hAnsi="Times New Roman"/>
          <w:b/>
          <w:sz w:val="24"/>
          <w:lang w:val="en-CA"/>
        </w:rPr>
      </w:pPr>
      <w:r>
        <w:rPr>
          <w:rFonts w:ascii="Times New Roman" w:hAnsi="Times New Roman"/>
          <w:b/>
          <w:sz w:val="24"/>
          <w:lang w:val="en-CA"/>
        </w:rPr>
        <w:br w:type="page"/>
      </w:r>
    </w:p>
    <w:p w:rsidR="00B25EE7" w:rsidRDefault="00B25EE7" w:rsidP="00B43378">
      <w:pPr>
        <w:pStyle w:val="Heading1"/>
        <w:rPr>
          <w:lang w:val="en-CA"/>
        </w:rPr>
      </w:pPr>
      <w:bookmarkStart w:id="2" w:name="_Toc350177517"/>
      <w:r>
        <w:rPr>
          <w:lang w:val="en-CA"/>
        </w:rPr>
        <w:lastRenderedPageBreak/>
        <w:t>Project goal</w:t>
      </w:r>
      <w:bookmarkEnd w:id="2"/>
    </w:p>
    <w:p w:rsidR="00081AC0" w:rsidRPr="004B795C" w:rsidRDefault="00081AC0" w:rsidP="00081AC0">
      <w:pPr>
        <w:rPr>
          <w:rFonts w:ascii="Times New Roman" w:hAnsi="Times New Roman"/>
        </w:rPr>
      </w:pPr>
      <w:r w:rsidRPr="004B795C">
        <w:rPr>
          <w:rFonts w:ascii="Times New Roman" w:hAnsi="Times New Roman"/>
        </w:rPr>
        <w:t xml:space="preserve">To ensure the </w:t>
      </w:r>
      <w:r w:rsidRPr="00081AC0">
        <w:rPr>
          <w:rFonts w:ascii="Times New Roman" w:hAnsi="Times New Roman"/>
          <w:i/>
        </w:rPr>
        <w:t>Emissions Management Framework for Alberta’s Electricity Sector</w:t>
      </w:r>
      <w:r>
        <w:rPr>
          <w:rFonts w:ascii="Times New Roman" w:hAnsi="Times New Roman"/>
        </w:rPr>
        <w:t xml:space="preserve"> (the Framework</w:t>
      </w:r>
      <w:r w:rsidR="00B03386">
        <w:rPr>
          <w:rFonts w:ascii="Times New Roman" w:hAnsi="Times New Roman"/>
        </w:rPr>
        <w:t xml:space="preserve">) </w:t>
      </w:r>
      <w:r w:rsidR="00B03386" w:rsidRPr="004B795C">
        <w:rPr>
          <w:rFonts w:ascii="Times New Roman" w:hAnsi="Times New Roman"/>
        </w:rPr>
        <w:t>reflects</w:t>
      </w:r>
      <w:r w:rsidRPr="004B795C">
        <w:rPr>
          <w:rFonts w:ascii="Times New Roman" w:hAnsi="Times New Roman"/>
        </w:rPr>
        <w:t xml:space="preserve"> current circumstances, the project team will </w:t>
      </w:r>
      <w:r>
        <w:rPr>
          <w:rFonts w:ascii="Times New Roman" w:hAnsi="Times New Roman"/>
        </w:rPr>
        <w:t xml:space="preserve">conduct a Five-Year Review, as outlined in Recommendation 29 of the Framework. </w:t>
      </w:r>
      <w:r w:rsidR="00706ECE">
        <w:rPr>
          <w:rFonts w:ascii="Times New Roman" w:hAnsi="Times New Roman"/>
        </w:rPr>
        <w:t>T</w:t>
      </w:r>
      <w:r w:rsidR="008538E6">
        <w:rPr>
          <w:rFonts w:ascii="Times New Roman" w:hAnsi="Times New Roman"/>
        </w:rPr>
        <w:t>he team will</w:t>
      </w:r>
      <w:r>
        <w:rPr>
          <w:rFonts w:ascii="Times New Roman" w:hAnsi="Times New Roman"/>
        </w:rPr>
        <w:t xml:space="preserve"> </w:t>
      </w:r>
      <w:r w:rsidR="008538E6">
        <w:rPr>
          <w:rFonts w:ascii="Times New Roman" w:hAnsi="Times New Roman"/>
        </w:rPr>
        <w:t>also consider whether a review of the structure of the Framework itself is warranted</w:t>
      </w:r>
      <w:r w:rsidR="00706ECE">
        <w:rPr>
          <w:rFonts w:ascii="Times New Roman" w:hAnsi="Times New Roman"/>
        </w:rPr>
        <w:t xml:space="preserve"> and </w:t>
      </w:r>
      <w:r w:rsidR="008538E6">
        <w:rPr>
          <w:rFonts w:ascii="Times New Roman" w:hAnsi="Times New Roman"/>
        </w:rPr>
        <w:t xml:space="preserve">develop recommendations as appropriate. </w:t>
      </w:r>
    </w:p>
    <w:p w:rsidR="007760BD" w:rsidRDefault="007760BD" w:rsidP="00B43378">
      <w:pPr>
        <w:pStyle w:val="Heading1"/>
        <w:rPr>
          <w:lang w:val="en-CA"/>
        </w:rPr>
      </w:pPr>
      <w:bookmarkStart w:id="3" w:name="_Toc350177518"/>
      <w:r>
        <w:rPr>
          <w:lang w:val="en-CA"/>
        </w:rPr>
        <w:t>Background</w:t>
      </w:r>
      <w:bookmarkEnd w:id="3"/>
    </w:p>
    <w:p w:rsidR="008260A2" w:rsidRPr="008260A2" w:rsidRDefault="008260A2" w:rsidP="00F46D5F">
      <w:pPr>
        <w:rPr>
          <w:rFonts w:ascii="Times New Roman" w:hAnsi="Times New Roman"/>
          <w:sz w:val="24"/>
          <w:lang w:val="en-CA"/>
        </w:rPr>
      </w:pPr>
      <w:r w:rsidRPr="008260A2">
        <w:rPr>
          <w:rFonts w:ascii="Times New Roman" w:hAnsi="Times New Roman"/>
          <w:sz w:val="24"/>
          <w:lang w:val="en-CA"/>
        </w:rPr>
        <w:t xml:space="preserve">In January 2002, Alberta Environment asked the Clean Air Strategic Alliance (CASA) to develop a new way to manage air emissions from the electricity sector. Using a multi-stakeholder collaborative approach, CASA developed innovative solutions in the form of 71 recommendations comprising a management framework and presented it to the Government of Alberta in November 2003. The report, </w:t>
      </w:r>
      <w:r w:rsidRPr="00E92109">
        <w:rPr>
          <w:rFonts w:ascii="Times New Roman" w:hAnsi="Times New Roman"/>
          <w:i/>
          <w:sz w:val="24"/>
          <w:lang w:val="en-CA"/>
        </w:rPr>
        <w:t>An Emissions Management Framework for the Alberta Electricity Sector</w:t>
      </w:r>
      <w:r w:rsidRPr="008260A2">
        <w:rPr>
          <w:rFonts w:ascii="Times New Roman" w:hAnsi="Times New Roman"/>
          <w:sz w:val="24"/>
          <w:lang w:val="en-CA"/>
        </w:rPr>
        <w:t xml:space="preserve">, was accepted by the Government of Alberta and implemented through regulations, standards and facility approvals </w:t>
      </w:r>
      <w:r w:rsidRPr="005A51B2">
        <w:rPr>
          <w:rFonts w:ascii="Times New Roman" w:hAnsi="Times New Roman"/>
          <w:sz w:val="24"/>
          <w:lang w:val="en-CA"/>
        </w:rPr>
        <w:t xml:space="preserve">(see Appendix </w:t>
      </w:r>
      <w:r w:rsidR="005A51B2">
        <w:rPr>
          <w:rFonts w:ascii="Times New Roman" w:hAnsi="Times New Roman"/>
          <w:sz w:val="24"/>
          <w:lang w:val="en-CA"/>
        </w:rPr>
        <w:t>I</w:t>
      </w:r>
      <w:r w:rsidRPr="005A51B2">
        <w:rPr>
          <w:rFonts w:ascii="Times New Roman" w:hAnsi="Times New Roman"/>
          <w:sz w:val="24"/>
          <w:lang w:val="en-CA"/>
        </w:rPr>
        <w:t>).</w:t>
      </w:r>
      <w:r w:rsidRPr="008260A2">
        <w:rPr>
          <w:rFonts w:ascii="Times New Roman" w:hAnsi="Times New Roman"/>
          <w:sz w:val="24"/>
          <w:lang w:val="en-CA"/>
        </w:rPr>
        <w:t xml:space="preserve"> </w:t>
      </w:r>
      <w:r w:rsidR="00F46D5F" w:rsidRPr="00DC27E2">
        <w:rPr>
          <w:rFonts w:ascii="Times New Roman" w:hAnsi="Times New Roman"/>
          <w:sz w:val="24"/>
          <w:lang w:val="en-CA"/>
        </w:rPr>
        <w:t xml:space="preserve">The first emission standards were effective January 1, 2006. </w:t>
      </w:r>
    </w:p>
    <w:p w:rsidR="008260A2" w:rsidRPr="008260A2" w:rsidRDefault="008260A2" w:rsidP="008260A2">
      <w:pPr>
        <w:autoSpaceDE w:val="0"/>
        <w:autoSpaceDN w:val="0"/>
        <w:adjustRightInd w:val="0"/>
        <w:rPr>
          <w:rFonts w:ascii="Times New Roman" w:hAnsi="Times New Roman"/>
          <w:sz w:val="24"/>
          <w:lang w:val="en-CA"/>
        </w:rPr>
      </w:pPr>
    </w:p>
    <w:p w:rsidR="008260A2" w:rsidRPr="008260A2" w:rsidRDefault="008260A2" w:rsidP="008260A2">
      <w:pPr>
        <w:autoSpaceDE w:val="0"/>
        <w:autoSpaceDN w:val="0"/>
        <w:adjustRightInd w:val="0"/>
        <w:rPr>
          <w:rFonts w:ascii="Times New Roman" w:hAnsi="Times New Roman"/>
          <w:sz w:val="24"/>
          <w:lang w:val="en-CA"/>
        </w:rPr>
      </w:pPr>
      <w:r w:rsidRPr="008260A2">
        <w:rPr>
          <w:rFonts w:ascii="Times New Roman" w:hAnsi="Times New Roman"/>
          <w:sz w:val="24"/>
          <w:lang w:val="en-CA"/>
        </w:rPr>
        <w:t xml:space="preserve">To ensure continuous improvement and to keep the Framework timely and relevant, a formal review of the framework is to be undertaken every </w:t>
      </w:r>
      <w:r w:rsidR="00741F95">
        <w:rPr>
          <w:rFonts w:ascii="Times New Roman" w:hAnsi="Times New Roman"/>
          <w:sz w:val="24"/>
          <w:lang w:val="en-CA"/>
        </w:rPr>
        <w:t>five years (R</w:t>
      </w:r>
      <w:r w:rsidRPr="008260A2">
        <w:rPr>
          <w:rFonts w:ascii="Times New Roman" w:hAnsi="Times New Roman"/>
          <w:sz w:val="24"/>
          <w:lang w:val="en-CA"/>
        </w:rPr>
        <w:t xml:space="preserve">ecommendation 29). This review </w:t>
      </w:r>
      <w:r w:rsidR="00E92109">
        <w:rPr>
          <w:rFonts w:ascii="Times New Roman" w:hAnsi="Times New Roman"/>
          <w:sz w:val="24"/>
          <w:lang w:val="en-CA"/>
        </w:rPr>
        <w:t xml:space="preserve">should </w:t>
      </w:r>
      <w:r w:rsidRPr="008260A2">
        <w:rPr>
          <w:rFonts w:ascii="Times New Roman" w:hAnsi="Times New Roman"/>
          <w:sz w:val="24"/>
          <w:lang w:val="en-CA"/>
        </w:rPr>
        <w:t xml:space="preserve">include a multi-stakeholder group consisting of industry, government, non-government organizations, and communities with an interest in the electricity sector. The intent of the </w:t>
      </w:r>
      <w:r w:rsidR="00741F95">
        <w:rPr>
          <w:rFonts w:ascii="Times New Roman" w:hAnsi="Times New Roman"/>
          <w:sz w:val="24"/>
          <w:lang w:val="en-CA"/>
        </w:rPr>
        <w:t>Five Year</w:t>
      </w:r>
      <w:r w:rsidRPr="008260A2">
        <w:rPr>
          <w:rFonts w:ascii="Times New Roman" w:hAnsi="Times New Roman"/>
          <w:sz w:val="24"/>
          <w:lang w:val="en-CA"/>
        </w:rPr>
        <w:t xml:space="preserve"> </w:t>
      </w:r>
      <w:r w:rsidR="00741F95">
        <w:rPr>
          <w:rFonts w:ascii="Times New Roman" w:hAnsi="Times New Roman"/>
          <w:sz w:val="24"/>
          <w:lang w:val="en-CA"/>
        </w:rPr>
        <w:t>R</w:t>
      </w:r>
      <w:r w:rsidRPr="008260A2">
        <w:rPr>
          <w:rFonts w:ascii="Times New Roman" w:hAnsi="Times New Roman"/>
          <w:sz w:val="24"/>
          <w:lang w:val="en-CA"/>
        </w:rPr>
        <w:t xml:space="preserve">eview is to assess new emission control technologies, update emission </w:t>
      </w:r>
      <w:r w:rsidR="00741F95">
        <w:rPr>
          <w:rFonts w:ascii="Times New Roman" w:hAnsi="Times New Roman"/>
          <w:sz w:val="24"/>
          <w:lang w:val="en-CA"/>
        </w:rPr>
        <w:t>standards</w:t>
      </w:r>
      <w:r w:rsidRPr="008260A2">
        <w:rPr>
          <w:rFonts w:ascii="Times New Roman" w:hAnsi="Times New Roman"/>
          <w:sz w:val="24"/>
          <w:lang w:val="en-CA"/>
        </w:rPr>
        <w:t xml:space="preserve"> for new generation units, determine if emission </w:t>
      </w:r>
      <w:r w:rsidR="005A5D48">
        <w:rPr>
          <w:rFonts w:ascii="Times New Roman" w:hAnsi="Times New Roman"/>
          <w:sz w:val="24"/>
          <w:lang w:val="en-CA"/>
        </w:rPr>
        <w:t>standards</w:t>
      </w:r>
      <w:r w:rsidRPr="008260A2">
        <w:rPr>
          <w:rFonts w:ascii="Times New Roman" w:hAnsi="Times New Roman"/>
          <w:sz w:val="24"/>
          <w:lang w:val="en-CA"/>
        </w:rPr>
        <w:t xml:space="preserve"> for new substances need to be developed, review implementation progress</w:t>
      </w:r>
      <w:r w:rsidR="00935B13">
        <w:rPr>
          <w:rFonts w:ascii="Times New Roman" w:hAnsi="Times New Roman"/>
          <w:sz w:val="24"/>
          <w:lang w:val="en-CA"/>
        </w:rPr>
        <w:t>,</w:t>
      </w:r>
      <w:r w:rsidRPr="008260A2">
        <w:rPr>
          <w:rFonts w:ascii="Times New Roman" w:hAnsi="Times New Roman"/>
          <w:sz w:val="24"/>
          <w:lang w:val="en-CA"/>
        </w:rPr>
        <w:t xml:space="preserve"> and determine if the Framework is achieving its emission management objectives.</w:t>
      </w:r>
    </w:p>
    <w:p w:rsidR="008260A2" w:rsidRDefault="008260A2" w:rsidP="008260A2">
      <w:pPr>
        <w:autoSpaceDE w:val="0"/>
        <w:autoSpaceDN w:val="0"/>
        <w:adjustRightInd w:val="0"/>
        <w:rPr>
          <w:rFonts w:ascii="Times New Roman" w:hAnsi="Times New Roman"/>
          <w:sz w:val="24"/>
          <w:lang w:val="en-CA"/>
        </w:rPr>
      </w:pPr>
    </w:p>
    <w:p w:rsidR="005A5D48" w:rsidRDefault="00D4051E" w:rsidP="00E92B48">
      <w:pPr>
        <w:autoSpaceDE w:val="0"/>
        <w:autoSpaceDN w:val="0"/>
        <w:adjustRightInd w:val="0"/>
        <w:rPr>
          <w:rFonts w:ascii="Times New Roman" w:hAnsi="Times New Roman"/>
          <w:sz w:val="24"/>
          <w:lang w:val="en-CA"/>
        </w:rPr>
      </w:pPr>
      <w:r>
        <w:rPr>
          <w:rFonts w:ascii="Times New Roman" w:hAnsi="Times New Roman"/>
          <w:sz w:val="24"/>
          <w:lang w:val="en-CA"/>
        </w:rPr>
        <w:t xml:space="preserve">A </w:t>
      </w:r>
      <w:r w:rsidR="00935B13">
        <w:rPr>
          <w:rFonts w:ascii="Times New Roman" w:hAnsi="Times New Roman"/>
          <w:sz w:val="24"/>
          <w:lang w:val="en-CA"/>
        </w:rPr>
        <w:t xml:space="preserve">full </w:t>
      </w:r>
      <w:r w:rsidR="005A5D48" w:rsidRPr="005A5D48">
        <w:rPr>
          <w:rFonts w:ascii="Times New Roman" w:hAnsi="Times New Roman"/>
          <w:sz w:val="24"/>
          <w:lang w:val="en-CA"/>
        </w:rPr>
        <w:t xml:space="preserve">review </w:t>
      </w:r>
      <w:r w:rsidR="00935B13">
        <w:rPr>
          <w:rFonts w:ascii="Times New Roman" w:hAnsi="Times New Roman"/>
          <w:sz w:val="24"/>
          <w:lang w:val="en-CA"/>
        </w:rPr>
        <w:t xml:space="preserve">of the structure of the Framework itself </w:t>
      </w:r>
      <w:r>
        <w:rPr>
          <w:rFonts w:ascii="Times New Roman" w:hAnsi="Times New Roman"/>
          <w:sz w:val="24"/>
          <w:lang w:val="en-CA"/>
        </w:rPr>
        <w:t>would be triggered by</w:t>
      </w:r>
      <w:r w:rsidR="005A5D48" w:rsidRPr="005A5D48">
        <w:rPr>
          <w:rFonts w:ascii="Times New Roman" w:hAnsi="Times New Roman"/>
          <w:sz w:val="24"/>
          <w:lang w:val="en-CA"/>
        </w:rPr>
        <w:t xml:space="preserve"> the environmental and health factors noted in recommendation 34</w:t>
      </w:r>
      <w:r w:rsidR="005A5D48">
        <w:rPr>
          <w:rFonts w:ascii="Times New Roman" w:hAnsi="Times New Roman"/>
          <w:sz w:val="24"/>
          <w:lang w:val="en-CA"/>
        </w:rPr>
        <w:t xml:space="preserve"> </w:t>
      </w:r>
      <w:r w:rsidR="005A5D48" w:rsidRPr="00F46D5F">
        <w:rPr>
          <w:rFonts w:ascii="Times New Roman" w:hAnsi="Times New Roman"/>
          <w:sz w:val="24"/>
          <w:lang w:val="en-CA"/>
        </w:rPr>
        <w:t>(</w:t>
      </w:r>
      <w:r w:rsidR="00DC7F79">
        <w:rPr>
          <w:rFonts w:ascii="Times New Roman" w:hAnsi="Times New Roman"/>
          <w:sz w:val="24"/>
          <w:lang w:val="en-CA"/>
        </w:rPr>
        <w:t xml:space="preserve">emission forecast is </w:t>
      </w:r>
      <w:r w:rsidR="005A5D48" w:rsidRPr="00F46D5F">
        <w:rPr>
          <w:rFonts w:ascii="Times New Roman" w:hAnsi="Times New Roman"/>
          <w:sz w:val="24"/>
          <w:lang w:val="en-CA"/>
        </w:rPr>
        <w:t xml:space="preserve">15% </w:t>
      </w:r>
      <w:r w:rsidR="00DC7F79">
        <w:rPr>
          <w:rFonts w:ascii="Times New Roman" w:hAnsi="Times New Roman"/>
          <w:sz w:val="24"/>
          <w:lang w:val="en-CA"/>
        </w:rPr>
        <w:t>higher than projected in the previous Five Year Review</w:t>
      </w:r>
      <w:r w:rsidR="005A5D48">
        <w:rPr>
          <w:rFonts w:ascii="Times New Roman" w:hAnsi="Times New Roman"/>
          <w:sz w:val="24"/>
          <w:lang w:val="en-CA"/>
        </w:rPr>
        <w:t xml:space="preserve">) </w:t>
      </w:r>
      <w:r w:rsidR="005A5D48" w:rsidRPr="005A5D48">
        <w:rPr>
          <w:rFonts w:ascii="Times New Roman" w:hAnsi="Times New Roman"/>
          <w:sz w:val="24"/>
          <w:lang w:val="en-CA"/>
        </w:rPr>
        <w:t>and the economic factors noted in recommendation 35</w:t>
      </w:r>
      <w:r w:rsidR="005A5D48">
        <w:rPr>
          <w:rFonts w:ascii="Times New Roman" w:hAnsi="Times New Roman"/>
          <w:sz w:val="24"/>
          <w:lang w:val="en-CA"/>
        </w:rPr>
        <w:t xml:space="preserve"> </w:t>
      </w:r>
      <w:r w:rsidR="005A5D48" w:rsidRPr="00F46D5F">
        <w:rPr>
          <w:rFonts w:ascii="Times New Roman" w:hAnsi="Times New Roman"/>
          <w:sz w:val="24"/>
          <w:lang w:val="en-CA"/>
        </w:rPr>
        <w:t>(economic assumptions are significantly different</w:t>
      </w:r>
      <w:r w:rsidR="00E92B48">
        <w:rPr>
          <w:rFonts w:ascii="Times New Roman" w:hAnsi="Times New Roman"/>
          <w:sz w:val="24"/>
          <w:lang w:val="en-CA"/>
        </w:rPr>
        <w:t xml:space="preserve"> so as to adversely affect the viability of the electricity sector</w:t>
      </w:r>
      <w:r w:rsidR="005A5D48" w:rsidRPr="00F46D5F">
        <w:rPr>
          <w:rFonts w:ascii="Times New Roman" w:hAnsi="Times New Roman"/>
          <w:sz w:val="24"/>
          <w:lang w:val="en-CA"/>
        </w:rPr>
        <w:t>)</w:t>
      </w:r>
      <w:r w:rsidR="005A5D48" w:rsidRPr="005A5D48">
        <w:rPr>
          <w:rFonts w:ascii="Times New Roman" w:hAnsi="Times New Roman"/>
          <w:sz w:val="24"/>
          <w:lang w:val="en-CA"/>
        </w:rPr>
        <w:t>.</w:t>
      </w:r>
      <w:r w:rsidR="005A5D48">
        <w:rPr>
          <w:rFonts w:ascii="Times New Roman" w:hAnsi="Times New Roman"/>
          <w:sz w:val="24"/>
          <w:lang w:val="en-CA"/>
        </w:rPr>
        <w:t xml:space="preserve"> </w:t>
      </w:r>
      <w:r w:rsidR="005A5D48" w:rsidRPr="00F46D5F">
        <w:rPr>
          <w:rFonts w:ascii="Times New Roman" w:hAnsi="Times New Roman"/>
          <w:sz w:val="24"/>
          <w:lang w:val="en-CA"/>
        </w:rPr>
        <w:t xml:space="preserve">A full </w:t>
      </w:r>
      <w:r w:rsidR="00935B13">
        <w:rPr>
          <w:rFonts w:ascii="Times New Roman" w:hAnsi="Times New Roman"/>
          <w:sz w:val="24"/>
          <w:lang w:val="en-CA"/>
        </w:rPr>
        <w:t xml:space="preserve">structural </w:t>
      </w:r>
      <w:r w:rsidR="005A5D48" w:rsidRPr="00F46D5F">
        <w:rPr>
          <w:rFonts w:ascii="Times New Roman" w:hAnsi="Times New Roman"/>
          <w:sz w:val="24"/>
          <w:lang w:val="en-CA"/>
        </w:rPr>
        <w:t>review would consider changes to the Framework to reflect current circumstances.</w:t>
      </w:r>
    </w:p>
    <w:p w:rsidR="005A5D48" w:rsidRDefault="005A5D48" w:rsidP="005A5D48">
      <w:pPr>
        <w:autoSpaceDE w:val="0"/>
        <w:autoSpaceDN w:val="0"/>
        <w:adjustRightInd w:val="0"/>
        <w:rPr>
          <w:rFonts w:ascii="Times New Roman" w:hAnsi="Times New Roman"/>
          <w:sz w:val="24"/>
          <w:lang w:val="en-CA"/>
        </w:rPr>
      </w:pPr>
    </w:p>
    <w:p w:rsidR="00CE1FA6" w:rsidRPr="00CE1FA6" w:rsidRDefault="00CE1FA6" w:rsidP="00E92B48">
      <w:pPr>
        <w:autoSpaceDE w:val="0"/>
        <w:autoSpaceDN w:val="0"/>
        <w:adjustRightInd w:val="0"/>
        <w:rPr>
          <w:rFonts w:ascii="Times New Roman" w:hAnsi="Times New Roman"/>
          <w:i/>
          <w:sz w:val="24"/>
          <w:lang w:val="en-CA"/>
        </w:rPr>
      </w:pPr>
      <w:r w:rsidRPr="00CE1FA6">
        <w:rPr>
          <w:rFonts w:ascii="Times New Roman" w:hAnsi="Times New Roman"/>
          <w:i/>
          <w:sz w:val="24"/>
          <w:lang w:val="en-CA"/>
        </w:rPr>
        <w:t xml:space="preserve">First </w:t>
      </w:r>
      <w:r w:rsidR="00E638DE">
        <w:rPr>
          <w:rFonts w:ascii="Times New Roman" w:hAnsi="Times New Roman"/>
          <w:i/>
          <w:sz w:val="24"/>
          <w:lang w:val="en-CA"/>
        </w:rPr>
        <w:t xml:space="preserve">Five </w:t>
      </w:r>
      <w:r w:rsidRPr="00CE1FA6">
        <w:rPr>
          <w:rFonts w:ascii="Times New Roman" w:hAnsi="Times New Roman"/>
          <w:i/>
          <w:sz w:val="24"/>
          <w:lang w:val="en-CA"/>
        </w:rPr>
        <w:t>Year Review</w:t>
      </w:r>
    </w:p>
    <w:p w:rsidR="00CE1FA6" w:rsidRDefault="00C40FA3" w:rsidP="00CE1FA6">
      <w:pPr>
        <w:rPr>
          <w:rFonts w:ascii="Times New Roman" w:hAnsi="Times New Roman"/>
          <w:sz w:val="24"/>
          <w:lang w:val="en-CA"/>
        </w:rPr>
      </w:pPr>
      <w:r w:rsidRPr="00C40FA3">
        <w:rPr>
          <w:rFonts w:ascii="Times New Roman" w:hAnsi="Times New Roman"/>
          <w:sz w:val="24"/>
          <w:lang w:val="en-CA"/>
        </w:rPr>
        <w:t>The first Five</w:t>
      </w:r>
      <w:r w:rsidR="00E638DE">
        <w:rPr>
          <w:rFonts w:ascii="Times New Roman" w:hAnsi="Times New Roman"/>
          <w:sz w:val="24"/>
          <w:lang w:val="en-CA"/>
        </w:rPr>
        <w:t xml:space="preserve"> </w:t>
      </w:r>
      <w:r w:rsidRPr="00C40FA3">
        <w:rPr>
          <w:rFonts w:ascii="Times New Roman" w:hAnsi="Times New Roman"/>
          <w:sz w:val="24"/>
          <w:lang w:val="en-CA"/>
        </w:rPr>
        <w:t>Year Review started in</w:t>
      </w:r>
      <w:r>
        <w:rPr>
          <w:rFonts w:ascii="Times New Roman" w:hAnsi="Times New Roman"/>
          <w:sz w:val="24"/>
          <w:lang w:val="en-CA"/>
        </w:rPr>
        <w:t xml:space="preserve"> 2008 and </w:t>
      </w:r>
      <w:r w:rsidR="007F79DA">
        <w:rPr>
          <w:rFonts w:ascii="Times New Roman" w:hAnsi="Times New Roman"/>
          <w:sz w:val="24"/>
          <w:lang w:val="en-CA"/>
        </w:rPr>
        <w:t xml:space="preserve">the </w:t>
      </w:r>
      <w:r w:rsidR="00CE1FA6" w:rsidRPr="00CE1FA6">
        <w:rPr>
          <w:rFonts w:ascii="Times New Roman" w:hAnsi="Times New Roman"/>
          <w:sz w:val="24"/>
          <w:lang w:val="en-CA"/>
        </w:rPr>
        <w:t xml:space="preserve">Electricity Framework Review Team submitted </w:t>
      </w:r>
      <w:r w:rsidR="007F79DA">
        <w:rPr>
          <w:rFonts w:ascii="Times New Roman" w:hAnsi="Times New Roman"/>
          <w:sz w:val="24"/>
          <w:lang w:val="en-CA"/>
        </w:rPr>
        <w:t>their</w:t>
      </w:r>
      <w:r w:rsidR="007F79DA" w:rsidRPr="00CE1FA6">
        <w:rPr>
          <w:rFonts w:ascii="Times New Roman" w:hAnsi="Times New Roman"/>
          <w:sz w:val="24"/>
          <w:lang w:val="en-CA"/>
        </w:rPr>
        <w:t xml:space="preserve"> </w:t>
      </w:r>
      <w:r w:rsidR="00CE1FA6" w:rsidRPr="00CE1FA6">
        <w:rPr>
          <w:rFonts w:ascii="Times New Roman" w:hAnsi="Times New Roman"/>
          <w:sz w:val="24"/>
          <w:lang w:val="en-CA"/>
        </w:rPr>
        <w:t xml:space="preserve">report and recommendations to the CASA Board in June 2009. The report contained ten consensus recommendations and one non-consensus item. </w:t>
      </w:r>
      <w:r w:rsidR="00D56CEE">
        <w:rPr>
          <w:rFonts w:ascii="Times New Roman" w:hAnsi="Times New Roman"/>
          <w:sz w:val="24"/>
          <w:lang w:val="en-CA"/>
        </w:rPr>
        <w:t xml:space="preserve">The consensus items included </w:t>
      </w:r>
      <w:r w:rsidR="00D56CEE" w:rsidRPr="00D56CEE">
        <w:rPr>
          <w:rFonts w:ascii="Times New Roman" w:hAnsi="Times New Roman"/>
          <w:sz w:val="24"/>
          <w:lang w:val="en-CA"/>
        </w:rPr>
        <w:t>revisions to the</w:t>
      </w:r>
      <w:r w:rsidR="005402C2">
        <w:rPr>
          <w:rFonts w:ascii="Times New Roman" w:hAnsi="Times New Roman"/>
          <w:sz w:val="24"/>
          <w:lang w:val="en-CA"/>
        </w:rPr>
        <w:t xml:space="preserve"> Particulate Matter (PM)</w:t>
      </w:r>
      <w:r w:rsidR="00935B13">
        <w:rPr>
          <w:rFonts w:ascii="Times New Roman" w:hAnsi="Times New Roman"/>
          <w:sz w:val="24"/>
          <w:lang w:val="en-CA"/>
        </w:rPr>
        <w:t>,</w:t>
      </w:r>
      <w:r w:rsidR="00D56CEE" w:rsidRPr="00D56CEE">
        <w:rPr>
          <w:rFonts w:ascii="Times New Roman" w:hAnsi="Times New Roman"/>
          <w:sz w:val="24"/>
          <w:lang w:val="en-CA"/>
        </w:rPr>
        <w:t xml:space="preserve"> Nitrogen Oxides (NOx)</w:t>
      </w:r>
      <w:r w:rsidR="00723860">
        <w:rPr>
          <w:rFonts w:ascii="Times New Roman" w:hAnsi="Times New Roman"/>
          <w:sz w:val="24"/>
          <w:lang w:val="en-CA"/>
        </w:rPr>
        <w:t xml:space="preserve"> </w:t>
      </w:r>
      <w:r w:rsidR="00D56CEE" w:rsidRPr="00D56CEE">
        <w:rPr>
          <w:rFonts w:ascii="Times New Roman" w:hAnsi="Times New Roman"/>
          <w:sz w:val="24"/>
          <w:lang w:val="en-CA"/>
        </w:rPr>
        <w:t>and Sulphur Dioxide (SO</w:t>
      </w:r>
      <w:r w:rsidR="00D56CEE" w:rsidRPr="007E0806">
        <w:rPr>
          <w:rFonts w:ascii="Times New Roman" w:hAnsi="Times New Roman"/>
          <w:sz w:val="24"/>
          <w:vertAlign w:val="subscript"/>
          <w:lang w:val="en-CA"/>
        </w:rPr>
        <w:t>2</w:t>
      </w:r>
      <w:r w:rsidR="00D56CEE" w:rsidRPr="00D56CEE">
        <w:rPr>
          <w:rFonts w:ascii="Times New Roman" w:hAnsi="Times New Roman"/>
          <w:sz w:val="24"/>
          <w:lang w:val="en-CA"/>
        </w:rPr>
        <w:t>) emission standards for new coal-fired units based on improvements in emission control technologies</w:t>
      </w:r>
      <w:r>
        <w:rPr>
          <w:rFonts w:ascii="Times New Roman" w:hAnsi="Times New Roman"/>
          <w:sz w:val="24"/>
          <w:lang w:val="en-CA"/>
        </w:rPr>
        <w:t xml:space="preserve">, </w:t>
      </w:r>
      <w:r w:rsidRPr="00C40FA3">
        <w:rPr>
          <w:rFonts w:ascii="Times New Roman" w:hAnsi="Times New Roman"/>
          <w:sz w:val="24"/>
          <w:lang w:val="en-CA"/>
        </w:rPr>
        <w:t>effective January 1, 2011.</w:t>
      </w:r>
      <w:r w:rsidR="00D56CEE">
        <w:rPr>
          <w:rFonts w:ascii="Times New Roman" w:hAnsi="Times New Roman"/>
          <w:sz w:val="24"/>
          <w:lang w:val="en-CA"/>
        </w:rPr>
        <w:t xml:space="preserve"> </w:t>
      </w:r>
      <w:r w:rsidR="00CE1FA6" w:rsidRPr="00CE1FA6">
        <w:rPr>
          <w:rFonts w:ascii="Times New Roman" w:hAnsi="Times New Roman"/>
          <w:sz w:val="24"/>
          <w:lang w:val="en-CA"/>
        </w:rPr>
        <w:t xml:space="preserve">The non-consensus </w:t>
      </w:r>
      <w:r w:rsidR="00935B13">
        <w:rPr>
          <w:rFonts w:ascii="Times New Roman" w:hAnsi="Times New Roman"/>
          <w:sz w:val="24"/>
          <w:lang w:val="en-CA"/>
        </w:rPr>
        <w:t>item</w:t>
      </w:r>
      <w:r w:rsidR="00CE1FA6" w:rsidRPr="00CE1FA6">
        <w:rPr>
          <w:rFonts w:ascii="Times New Roman" w:hAnsi="Times New Roman"/>
          <w:sz w:val="24"/>
          <w:lang w:val="en-CA"/>
        </w:rPr>
        <w:t xml:space="preserve"> pertained to NOx emission </w:t>
      </w:r>
      <w:r w:rsidR="002F1A2F">
        <w:rPr>
          <w:rFonts w:ascii="Times New Roman" w:hAnsi="Times New Roman"/>
          <w:sz w:val="24"/>
          <w:lang w:val="en-CA"/>
        </w:rPr>
        <w:t xml:space="preserve">standards </w:t>
      </w:r>
      <w:r w:rsidR="00CE1FA6" w:rsidRPr="00CE1FA6">
        <w:rPr>
          <w:rFonts w:ascii="Times New Roman" w:hAnsi="Times New Roman"/>
          <w:sz w:val="24"/>
          <w:lang w:val="en-CA"/>
        </w:rPr>
        <w:t xml:space="preserve">for new gas-fired generation for </w:t>
      </w:r>
      <w:r w:rsidR="002F1A2F">
        <w:rPr>
          <w:rFonts w:ascii="Times New Roman" w:hAnsi="Times New Roman"/>
          <w:sz w:val="24"/>
          <w:lang w:val="en-CA"/>
        </w:rPr>
        <w:t xml:space="preserve">both </w:t>
      </w:r>
      <w:r w:rsidR="00CE1FA6" w:rsidRPr="00CE1FA6">
        <w:rPr>
          <w:rFonts w:ascii="Times New Roman" w:hAnsi="Times New Roman"/>
          <w:sz w:val="24"/>
          <w:lang w:val="en-CA"/>
        </w:rPr>
        <w:t xml:space="preserve">peaking and non-peaking units. </w:t>
      </w:r>
      <w:r w:rsidR="002F1A2F">
        <w:rPr>
          <w:rFonts w:ascii="Times New Roman" w:hAnsi="Times New Roman"/>
          <w:sz w:val="24"/>
          <w:lang w:val="en-CA"/>
        </w:rPr>
        <w:t>At the June 2009 meeting, t</w:t>
      </w:r>
      <w:r w:rsidR="00935B13">
        <w:rPr>
          <w:rFonts w:ascii="Times New Roman" w:hAnsi="Times New Roman"/>
          <w:sz w:val="24"/>
          <w:lang w:val="en-CA"/>
        </w:rPr>
        <w:t>he B</w:t>
      </w:r>
      <w:r w:rsidR="002F1A2F" w:rsidRPr="002F1A2F">
        <w:rPr>
          <w:rFonts w:ascii="Times New Roman" w:hAnsi="Times New Roman"/>
          <w:sz w:val="24"/>
          <w:lang w:val="en-CA"/>
        </w:rPr>
        <w:t xml:space="preserve">oard directed the team to continue work </w:t>
      </w:r>
      <w:r w:rsidR="002F1A2F">
        <w:rPr>
          <w:rFonts w:ascii="Times New Roman" w:hAnsi="Times New Roman"/>
          <w:sz w:val="24"/>
          <w:lang w:val="en-CA"/>
        </w:rPr>
        <w:t xml:space="preserve">to reach consensus. </w:t>
      </w:r>
      <w:r w:rsidR="00840C83">
        <w:rPr>
          <w:rFonts w:ascii="Times New Roman" w:hAnsi="Times New Roman"/>
          <w:sz w:val="24"/>
          <w:lang w:val="en-CA"/>
        </w:rPr>
        <w:t>This work</w:t>
      </w:r>
      <w:r w:rsidR="002F1A2F" w:rsidRPr="002F1A2F">
        <w:rPr>
          <w:rFonts w:ascii="Times New Roman" w:hAnsi="Times New Roman"/>
          <w:sz w:val="24"/>
          <w:lang w:val="en-CA"/>
        </w:rPr>
        <w:t xml:space="preserve"> provided further clarification of the issues, </w:t>
      </w:r>
      <w:r w:rsidR="00840C83">
        <w:rPr>
          <w:rFonts w:ascii="Times New Roman" w:hAnsi="Times New Roman"/>
          <w:sz w:val="24"/>
          <w:lang w:val="en-CA"/>
        </w:rPr>
        <w:t xml:space="preserve">but </w:t>
      </w:r>
      <w:r w:rsidR="002F1A2F" w:rsidRPr="002F1A2F">
        <w:rPr>
          <w:rFonts w:ascii="Times New Roman" w:hAnsi="Times New Roman"/>
          <w:sz w:val="24"/>
          <w:lang w:val="en-CA"/>
        </w:rPr>
        <w:t>the participants could not reach consensu</w:t>
      </w:r>
      <w:r w:rsidR="00840C83">
        <w:rPr>
          <w:rFonts w:ascii="Times New Roman" w:hAnsi="Times New Roman"/>
          <w:sz w:val="24"/>
          <w:lang w:val="en-CA"/>
        </w:rPr>
        <w:t>s. A final</w:t>
      </w:r>
      <w:r w:rsidR="00840C83" w:rsidRPr="00CE1FA6">
        <w:rPr>
          <w:rFonts w:ascii="Times New Roman" w:hAnsi="Times New Roman"/>
          <w:sz w:val="24"/>
          <w:lang w:val="en-CA"/>
        </w:rPr>
        <w:t xml:space="preserve"> </w:t>
      </w:r>
      <w:r w:rsidR="00CE1FA6" w:rsidRPr="00CE1FA6">
        <w:rPr>
          <w:rFonts w:ascii="Times New Roman" w:hAnsi="Times New Roman"/>
          <w:sz w:val="24"/>
          <w:lang w:val="en-CA"/>
        </w:rPr>
        <w:t xml:space="preserve">report, including the interests and rationale with respect to the non-consensus recommendation, was forwarded to the Government of Alberta in </w:t>
      </w:r>
      <w:r w:rsidR="00840C83">
        <w:rPr>
          <w:rFonts w:ascii="Times New Roman" w:hAnsi="Times New Roman"/>
          <w:sz w:val="24"/>
          <w:lang w:val="en-CA"/>
        </w:rPr>
        <w:t>May</w:t>
      </w:r>
      <w:r w:rsidR="00840C83" w:rsidRPr="00CE1FA6">
        <w:rPr>
          <w:rFonts w:ascii="Times New Roman" w:hAnsi="Times New Roman"/>
          <w:sz w:val="24"/>
          <w:lang w:val="en-CA"/>
        </w:rPr>
        <w:t xml:space="preserve"> </w:t>
      </w:r>
      <w:r w:rsidR="00CE1FA6" w:rsidRPr="00CE1FA6">
        <w:rPr>
          <w:rFonts w:ascii="Times New Roman" w:hAnsi="Times New Roman"/>
          <w:sz w:val="24"/>
          <w:lang w:val="en-CA"/>
        </w:rPr>
        <w:t>2010 for decision.</w:t>
      </w:r>
    </w:p>
    <w:p w:rsidR="007F79DA" w:rsidRDefault="007F79DA" w:rsidP="00CE1FA6">
      <w:pPr>
        <w:rPr>
          <w:rFonts w:ascii="Times New Roman" w:hAnsi="Times New Roman"/>
          <w:sz w:val="24"/>
          <w:lang w:val="en-CA"/>
        </w:rPr>
      </w:pPr>
    </w:p>
    <w:p w:rsidR="007F79DA" w:rsidRPr="00CE1FA6" w:rsidRDefault="007F79DA" w:rsidP="00CE1FA6">
      <w:pPr>
        <w:rPr>
          <w:rFonts w:ascii="Times New Roman" w:hAnsi="Times New Roman"/>
          <w:sz w:val="24"/>
          <w:lang w:val="en-CA"/>
        </w:rPr>
      </w:pPr>
      <w:r>
        <w:rPr>
          <w:rFonts w:ascii="Times New Roman" w:hAnsi="Times New Roman"/>
          <w:sz w:val="24"/>
          <w:lang w:val="en-CA"/>
        </w:rPr>
        <w:lastRenderedPageBreak/>
        <w:t>A sub-group of the team continued to meet to develop a Particulate Matter (PM) System for existing units, as per Recommendation 22</w:t>
      </w:r>
      <w:r w:rsidR="00AE5F5D">
        <w:rPr>
          <w:rFonts w:ascii="Times New Roman" w:hAnsi="Times New Roman"/>
          <w:sz w:val="24"/>
          <w:lang w:val="en-CA"/>
        </w:rPr>
        <w:t xml:space="preserve"> of the Framework</w:t>
      </w:r>
      <w:r>
        <w:rPr>
          <w:rFonts w:ascii="Times New Roman" w:hAnsi="Times New Roman"/>
          <w:sz w:val="24"/>
          <w:lang w:val="en-CA"/>
        </w:rPr>
        <w:t xml:space="preserve">. </w:t>
      </w:r>
      <w:r w:rsidRPr="00AE5F5D">
        <w:rPr>
          <w:rFonts w:ascii="Times New Roman" w:hAnsi="Times New Roman"/>
          <w:sz w:val="24"/>
          <w:lang w:val="en-CA"/>
        </w:rPr>
        <w:t>In June 2010, the Federal Minister of Environment announced a proposed regulation for CO</w:t>
      </w:r>
      <w:r w:rsidRPr="00AE5F5D">
        <w:rPr>
          <w:rFonts w:ascii="Times New Roman" w:hAnsi="Times New Roman"/>
          <w:sz w:val="24"/>
          <w:vertAlign w:val="subscript"/>
          <w:lang w:val="en-CA"/>
        </w:rPr>
        <w:t>2</w:t>
      </w:r>
      <w:r w:rsidRPr="00AE5F5D">
        <w:rPr>
          <w:rFonts w:ascii="Times New Roman" w:hAnsi="Times New Roman"/>
          <w:sz w:val="24"/>
          <w:lang w:val="en-CA"/>
        </w:rPr>
        <w:t xml:space="preserve"> emissions from coal-fired power plants. The specific details of the proposed federal coal regulation were not to be available until it was published in the Canada Gazette, making it difficult for the sub-group to reach agreement on a PM management system for existing coal units. </w:t>
      </w:r>
      <w:r w:rsidR="00AE5F5D" w:rsidRPr="00AE5F5D">
        <w:rPr>
          <w:rFonts w:ascii="Times New Roman" w:hAnsi="Times New Roman"/>
          <w:sz w:val="24"/>
          <w:lang w:val="en-CA"/>
        </w:rPr>
        <w:t xml:space="preserve"> As such, the Board put the sub-group into abeyance until the details of the proposed regulation were available.</w:t>
      </w:r>
    </w:p>
    <w:p w:rsidR="00CE1FA6" w:rsidRDefault="00CE1FA6" w:rsidP="00CE1FA6">
      <w:pPr>
        <w:rPr>
          <w:rFonts w:ascii="Times New Roman" w:hAnsi="Times New Roman"/>
          <w:sz w:val="24"/>
          <w:lang w:val="en-CA"/>
        </w:rPr>
      </w:pPr>
    </w:p>
    <w:p w:rsidR="00CE1FA6" w:rsidRPr="00CE1FA6" w:rsidRDefault="00CE1FA6" w:rsidP="00B707DD">
      <w:pPr>
        <w:rPr>
          <w:rFonts w:ascii="Times New Roman" w:hAnsi="Times New Roman"/>
          <w:i/>
          <w:sz w:val="24"/>
          <w:lang w:val="en-CA"/>
        </w:rPr>
      </w:pPr>
      <w:r w:rsidRPr="00CE1FA6">
        <w:rPr>
          <w:rFonts w:ascii="Times New Roman" w:hAnsi="Times New Roman"/>
          <w:i/>
          <w:sz w:val="24"/>
          <w:lang w:val="en-CA"/>
        </w:rPr>
        <w:t>Electricity Working Group</w:t>
      </w:r>
    </w:p>
    <w:p w:rsidR="00CE1FA6" w:rsidRDefault="00AE5F5D" w:rsidP="00B707DD">
      <w:pPr>
        <w:pStyle w:val="NormalWeb"/>
        <w:spacing w:before="0" w:beforeAutospacing="0" w:after="0" w:afterAutospacing="0"/>
      </w:pPr>
      <w:r>
        <w:rPr>
          <w:rFonts w:eastAsia="Calibri"/>
          <w:szCs w:val="22"/>
        </w:rPr>
        <w:t>At the same time, t</w:t>
      </w:r>
      <w:r w:rsidR="00FA3A53" w:rsidRPr="00182A2C">
        <w:rPr>
          <w:rFonts w:eastAsia="Calibri"/>
          <w:szCs w:val="22"/>
        </w:rPr>
        <w:t xml:space="preserve">he </w:t>
      </w:r>
      <w:r w:rsidR="00182A2C">
        <w:rPr>
          <w:rFonts w:eastAsia="Calibri"/>
          <w:szCs w:val="22"/>
        </w:rPr>
        <w:t xml:space="preserve">CASA </w:t>
      </w:r>
      <w:r w:rsidR="00FA3A53" w:rsidRPr="00182A2C">
        <w:rPr>
          <w:rFonts w:eastAsia="Calibri"/>
          <w:szCs w:val="22"/>
        </w:rPr>
        <w:t xml:space="preserve">Board was alerted to the potential misalignments between the Framework, the proposed </w:t>
      </w:r>
      <w:r w:rsidR="00AF16E4" w:rsidRPr="00CE1FA6">
        <w:t xml:space="preserve">Base Level Industrial Requirements (BLIERs) </w:t>
      </w:r>
      <w:r w:rsidR="00FA3A53" w:rsidRPr="00182A2C">
        <w:rPr>
          <w:rFonts w:eastAsia="Calibri"/>
          <w:szCs w:val="22"/>
        </w:rPr>
        <w:t>for existing coal-fired electricity generation units (as part of the A</w:t>
      </w:r>
      <w:r w:rsidR="00611CC0">
        <w:rPr>
          <w:rFonts w:eastAsia="Calibri"/>
          <w:szCs w:val="22"/>
        </w:rPr>
        <w:t xml:space="preserve">ir </w:t>
      </w:r>
      <w:r w:rsidR="00FA3A53" w:rsidRPr="00182A2C">
        <w:rPr>
          <w:rFonts w:eastAsia="Calibri"/>
          <w:szCs w:val="22"/>
        </w:rPr>
        <w:t>Q</w:t>
      </w:r>
      <w:r w:rsidR="00611CC0">
        <w:rPr>
          <w:rFonts w:eastAsia="Calibri"/>
          <w:szCs w:val="22"/>
        </w:rPr>
        <w:t xml:space="preserve">uality </w:t>
      </w:r>
      <w:r w:rsidR="00FA3A53" w:rsidRPr="00182A2C">
        <w:rPr>
          <w:rFonts w:eastAsia="Calibri"/>
          <w:szCs w:val="22"/>
        </w:rPr>
        <w:t>M</w:t>
      </w:r>
      <w:r w:rsidR="00611CC0">
        <w:rPr>
          <w:rFonts w:eastAsia="Calibri"/>
          <w:szCs w:val="22"/>
        </w:rPr>
        <w:t xml:space="preserve">anagement </w:t>
      </w:r>
      <w:r w:rsidR="00FA3A53" w:rsidRPr="00182A2C">
        <w:rPr>
          <w:rFonts w:eastAsia="Calibri"/>
          <w:szCs w:val="22"/>
        </w:rPr>
        <w:t>S</w:t>
      </w:r>
      <w:r w:rsidR="00611CC0">
        <w:rPr>
          <w:rFonts w:eastAsia="Calibri"/>
          <w:szCs w:val="22"/>
        </w:rPr>
        <w:t>ystem</w:t>
      </w:r>
      <w:r w:rsidR="00FA3A53" w:rsidRPr="00182A2C">
        <w:rPr>
          <w:rFonts w:eastAsia="Calibri"/>
          <w:szCs w:val="22"/>
        </w:rPr>
        <w:t xml:space="preserve">), and </w:t>
      </w:r>
      <w:r w:rsidR="00AF16E4" w:rsidRPr="00CE1FA6">
        <w:t xml:space="preserve">the </w:t>
      </w:r>
      <w:r w:rsidR="00D34F0E">
        <w:t xml:space="preserve">proposed </w:t>
      </w:r>
      <w:r w:rsidR="00AF16E4">
        <w:t>f</w:t>
      </w:r>
      <w:r w:rsidR="00AF16E4" w:rsidRPr="002D3537">
        <w:t xml:space="preserve">ederal </w:t>
      </w:r>
      <w:r w:rsidR="00D34F0E">
        <w:t>regulation for CO</w:t>
      </w:r>
      <w:r w:rsidR="00D34F0E" w:rsidRPr="00D34F0E">
        <w:rPr>
          <w:vertAlign w:val="subscript"/>
        </w:rPr>
        <w:t>2</w:t>
      </w:r>
      <w:r w:rsidR="00D34F0E">
        <w:t xml:space="preserve"> emissions from coal-fired power plants </w:t>
      </w:r>
      <w:r w:rsidR="00AF16E4" w:rsidRPr="002D3537">
        <w:t>(GHG Regulations)</w:t>
      </w:r>
      <w:r w:rsidR="00AF16E4" w:rsidRPr="00CE1FA6">
        <w:t>.</w:t>
      </w:r>
      <w:r w:rsidR="00FA3A53" w:rsidRPr="00182A2C">
        <w:rPr>
          <w:rFonts w:eastAsia="Calibri"/>
          <w:szCs w:val="22"/>
        </w:rPr>
        <w:t xml:space="preserve"> </w:t>
      </w:r>
      <w:r w:rsidR="00AF16E4">
        <w:rPr>
          <w:rFonts w:eastAsia="Calibri"/>
          <w:szCs w:val="22"/>
        </w:rPr>
        <w:t>T</w:t>
      </w:r>
      <w:r w:rsidR="00FA3A53" w:rsidRPr="00182A2C">
        <w:rPr>
          <w:rFonts w:eastAsia="Calibri"/>
          <w:szCs w:val="22"/>
        </w:rPr>
        <w:t xml:space="preserve">he Board emphasized the need for CASA to respond to </w:t>
      </w:r>
      <w:r w:rsidR="00611CC0">
        <w:rPr>
          <w:rFonts w:eastAsia="Calibri"/>
          <w:szCs w:val="22"/>
        </w:rPr>
        <w:t>these</w:t>
      </w:r>
      <w:r w:rsidR="00611CC0" w:rsidRPr="00182A2C">
        <w:rPr>
          <w:rFonts w:eastAsia="Calibri"/>
          <w:szCs w:val="22"/>
        </w:rPr>
        <w:t xml:space="preserve"> </w:t>
      </w:r>
      <w:r w:rsidR="00FA3A53" w:rsidRPr="00182A2C">
        <w:rPr>
          <w:rFonts w:eastAsia="Calibri"/>
          <w:szCs w:val="22"/>
        </w:rPr>
        <w:t>issue</w:t>
      </w:r>
      <w:r w:rsidR="00611CC0">
        <w:rPr>
          <w:rFonts w:eastAsia="Calibri"/>
          <w:szCs w:val="22"/>
        </w:rPr>
        <w:t>s</w:t>
      </w:r>
      <w:r w:rsidR="00FA3A53" w:rsidRPr="00182A2C">
        <w:rPr>
          <w:rFonts w:eastAsia="Calibri"/>
          <w:szCs w:val="22"/>
        </w:rPr>
        <w:t xml:space="preserve"> in a strategic manner and struck a Working Group to develop a report on the potential misalignments, including suggestions on addressing these issues in a collaborative way.</w:t>
      </w:r>
      <w:r w:rsidR="00AF16E4">
        <w:rPr>
          <w:rFonts w:eastAsia="Calibri"/>
          <w:szCs w:val="22"/>
        </w:rPr>
        <w:t xml:space="preserve"> </w:t>
      </w:r>
      <w:r w:rsidR="00CE1FA6" w:rsidRPr="00CE1FA6">
        <w:t xml:space="preserve">In December 2011, the working group presented their final report to the Board </w:t>
      </w:r>
      <w:r w:rsidR="00AF16E4">
        <w:t>and</w:t>
      </w:r>
      <w:r w:rsidR="00611CC0">
        <w:t>,</w:t>
      </w:r>
      <w:r w:rsidR="00AF16E4">
        <w:t xml:space="preserve"> u</w:t>
      </w:r>
      <w:r w:rsidR="00A63A73">
        <w:t xml:space="preserve">pon the </w:t>
      </w:r>
      <w:r w:rsidR="00CE1FA6" w:rsidRPr="00CE1FA6">
        <w:t>Board</w:t>
      </w:r>
      <w:r w:rsidR="00A63A73">
        <w:t>’s approval, t</w:t>
      </w:r>
      <w:r w:rsidR="00CE1FA6" w:rsidRPr="00CE1FA6">
        <w:t>he Government of Alberta committed to presenting the report at the Canadian Council of Ministers of the Environment Champion’s table</w:t>
      </w:r>
      <w:r w:rsidR="00A63A73">
        <w:t>.</w:t>
      </w:r>
    </w:p>
    <w:p w:rsidR="00CE1FA6" w:rsidRDefault="00CE1FA6" w:rsidP="00B707DD">
      <w:pPr>
        <w:rPr>
          <w:rFonts w:ascii="Times New Roman" w:hAnsi="Times New Roman"/>
          <w:sz w:val="24"/>
          <w:lang w:val="en-CA"/>
        </w:rPr>
      </w:pPr>
    </w:p>
    <w:p w:rsidR="008260A2" w:rsidRPr="008260A2" w:rsidRDefault="008260A2" w:rsidP="008260A2">
      <w:pPr>
        <w:autoSpaceDE w:val="0"/>
        <w:autoSpaceDN w:val="0"/>
        <w:adjustRightInd w:val="0"/>
        <w:rPr>
          <w:rFonts w:ascii="Times New Roman" w:hAnsi="Times New Roman"/>
          <w:sz w:val="24"/>
          <w:lang w:val="en-CA"/>
        </w:rPr>
      </w:pPr>
      <w:r w:rsidRPr="008260A2">
        <w:rPr>
          <w:rFonts w:ascii="Times New Roman" w:hAnsi="Times New Roman"/>
          <w:sz w:val="24"/>
          <w:lang w:val="en-CA"/>
        </w:rPr>
        <w:t xml:space="preserve">On September 12, 2012, the federal </w:t>
      </w:r>
      <w:r w:rsidR="007E0806">
        <w:rPr>
          <w:rFonts w:ascii="Times New Roman" w:hAnsi="Times New Roman"/>
          <w:sz w:val="24"/>
          <w:lang w:val="en-CA"/>
        </w:rPr>
        <w:t>GHG Regulations</w:t>
      </w:r>
      <w:r w:rsidRPr="008260A2">
        <w:rPr>
          <w:rFonts w:ascii="Times New Roman" w:hAnsi="Times New Roman"/>
          <w:sz w:val="24"/>
          <w:lang w:val="en-CA"/>
        </w:rPr>
        <w:t xml:space="preserve"> </w:t>
      </w:r>
      <w:r w:rsidR="00935B13">
        <w:rPr>
          <w:rFonts w:ascii="Times New Roman" w:hAnsi="Times New Roman"/>
          <w:sz w:val="24"/>
          <w:lang w:val="en-CA"/>
        </w:rPr>
        <w:t>were</w:t>
      </w:r>
      <w:r w:rsidRPr="008260A2">
        <w:rPr>
          <w:rFonts w:ascii="Times New Roman" w:hAnsi="Times New Roman"/>
          <w:sz w:val="24"/>
          <w:lang w:val="en-CA"/>
        </w:rPr>
        <w:t xml:space="preserve"> published in the Canada Gazette, Part II: Official Regulations. As such, the working group updated their report </w:t>
      </w:r>
      <w:r w:rsidR="00935B13">
        <w:rPr>
          <w:rFonts w:ascii="Times New Roman" w:hAnsi="Times New Roman"/>
          <w:sz w:val="24"/>
          <w:lang w:val="en-CA"/>
        </w:rPr>
        <w:t xml:space="preserve">in October 2012 </w:t>
      </w:r>
      <w:r w:rsidRPr="008260A2">
        <w:rPr>
          <w:rFonts w:ascii="Times New Roman" w:hAnsi="Times New Roman"/>
          <w:sz w:val="24"/>
          <w:lang w:val="en-CA"/>
        </w:rPr>
        <w:t>and</w:t>
      </w:r>
      <w:r w:rsidR="00D43624">
        <w:rPr>
          <w:rFonts w:ascii="Times New Roman" w:hAnsi="Times New Roman"/>
          <w:sz w:val="24"/>
          <w:lang w:val="en-CA"/>
        </w:rPr>
        <w:t xml:space="preserve"> resubmitted it to the CASA Board and the Government of Alberta.</w:t>
      </w:r>
    </w:p>
    <w:p w:rsidR="007D60D9" w:rsidRDefault="005F7F32" w:rsidP="00B43378">
      <w:pPr>
        <w:pStyle w:val="Heading1"/>
        <w:rPr>
          <w:lang w:val="en-CA"/>
        </w:rPr>
      </w:pPr>
      <w:bookmarkStart w:id="4" w:name="_Toc350177519"/>
      <w:r>
        <w:rPr>
          <w:lang w:val="en-CA"/>
        </w:rPr>
        <w:t>Project O</w:t>
      </w:r>
      <w:r w:rsidR="007D60D9" w:rsidRPr="00834294">
        <w:rPr>
          <w:lang w:val="en-CA"/>
        </w:rPr>
        <w:t>bjectives</w:t>
      </w:r>
      <w:bookmarkEnd w:id="4"/>
    </w:p>
    <w:p w:rsidR="00611CC0" w:rsidRPr="00F525C8" w:rsidRDefault="00611CC0" w:rsidP="00611CC0">
      <w:pPr>
        <w:rPr>
          <w:rFonts w:ascii="Times New Roman" w:hAnsi="Times New Roman"/>
          <w:sz w:val="24"/>
          <w:lang w:val="en-CA"/>
        </w:rPr>
      </w:pPr>
      <w:r w:rsidRPr="00F525C8">
        <w:rPr>
          <w:rFonts w:ascii="Times New Roman" w:hAnsi="Times New Roman"/>
          <w:sz w:val="24"/>
          <w:lang w:val="en-CA"/>
        </w:rPr>
        <w:t xml:space="preserve">The project charter serves as guidance for the </w:t>
      </w:r>
      <w:r w:rsidR="00DC27E2">
        <w:rPr>
          <w:rFonts w:ascii="Times New Roman" w:hAnsi="Times New Roman"/>
          <w:sz w:val="24"/>
          <w:lang w:val="en-CA"/>
        </w:rPr>
        <w:t>scope and direction</w:t>
      </w:r>
      <w:r w:rsidRPr="00F525C8">
        <w:rPr>
          <w:rFonts w:ascii="Times New Roman" w:hAnsi="Times New Roman"/>
          <w:sz w:val="24"/>
          <w:lang w:val="en-CA"/>
        </w:rPr>
        <w:t xml:space="preserve"> of the project.</w:t>
      </w:r>
      <w:r w:rsidR="00F525C8" w:rsidRPr="00F525C8">
        <w:rPr>
          <w:rFonts w:ascii="Times New Roman" w:hAnsi="Times New Roman"/>
          <w:sz w:val="24"/>
          <w:lang w:val="en-CA"/>
        </w:rPr>
        <w:t xml:space="preserve"> </w:t>
      </w:r>
      <w:r w:rsidR="00F525C8">
        <w:rPr>
          <w:rFonts w:ascii="Times New Roman" w:hAnsi="Times New Roman"/>
          <w:sz w:val="24"/>
          <w:lang w:val="en-CA"/>
        </w:rPr>
        <w:t xml:space="preserve">At the </w:t>
      </w:r>
      <w:r w:rsidR="002D74B2" w:rsidRPr="009B3258">
        <w:rPr>
          <w:rFonts w:ascii="Times New Roman" w:hAnsi="Times New Roman"/>
          <w:sz w:val="24"/>
          <w:lang w:val="en-CA"/>
        </w:rPr>
        <w:t>convening meeting</w:t>
      </w:r>
      <w:r w:rsidR="002D74B2">
        <w:rPr>
          <w:rFonts w:ascii="Times New Roman" w:hAnsi="Times New Roman"/>
          <w:sz w:val="24"/>
          <w:lang w:val="en-CA"/>
        </w:rPr>
        <w:t xml:space="preserve"> </w:t>
      </w:r>
      <w:r w:rsidR="00F525C8">
        <w:rPr>
          <w:rFonts w:ascii="Times New Roman" w:hAnsi="Times New Roman"/>
          <w:sz w:val="24"/>
          <w:lang w:val="en-CA"/>
        </w:rPr>
        <w:t xml:space="preserve">of the project team, members </w:t>
      </w:r>
      <w:r w:rsidR="00F525C8" w:rsidRPr="009B3258">
        <w:rPr>
          <w:rFonts w:ascii="Times New Roman" w:hAnsi="Times New Roman"/>
          <w:sz w:val="24"/>
          <w:lang w:val="en-CA"/>
        </w:rPr>
        <w:t xml:space="preserve">should engage in </w:t>
      </w:r>
      <w:r w:rsidR="00F525C8">
        <w:rPr>
          <w:rFonts w:ascii="Times New Roman" w:hAnsi="Times New Roman"/>
          <w:sz w:val="24"/>
          <w:lang w:val="en-CA"/>
        </w:rPr>
        <w:t xml:space="preserve">a review of the project charter with a view to reach </w:t>
      </w:r>
      <w:r w:rsidR="00F525C8" w:rsidRPr="009B3258">
        <w:rPr>
          <w:rFonts w:ascii="Times New Roman" w:hAnsi="Times New Roman"/>
          <w:sz w:val="24"/>
          <w:lang w:val="en-CA"/>
        </w:rPr>
        <w:t>agreement on each of the components of the charter which together make up the foundation for their process. This agreement signals their buy</w:t>
      </w:r>
      <w:r w:rsidR="00F525C8">
        <w:rPr>
          <w:rFonts w:ascii="Times New Roman" w:hAnsi="Times New Roman"/>
          <w:sz w:val="24"/>
          <w:lang w:val="en-CA"/>
        </w:rPr>
        <w:t>-</w:t>
      </w:r>
      <w:r w:rsidR="00F525C8" w:rsidRPr="009B3258">
        <w:rPr>
          <w:rFonts w:ascii="Times New Roman" w:hAnsi="Times New Roman"/>
          <w:sz w:val="24"/>
          <w:lang w:val="en-CA"/>
        </w:rPr>
        <w:t xml:space="preserve">in and ownership for the process and their commitment to effective collaboration. </w:t>
      </w:r>
    </w:p>
    <w:p w:rsidR="006A2B08" w:rsidRPr="00F525C8" w:rsidRDefault="006A2B08" w:rsidP="00834294">
      <w:pPr>
        <w:rPr>
          <w:rFonts w:ascii="Times New Roman" w:hAnsi="Times New Roman"/>
          <w:sz w:val="24"/>
          <w:lang w:val="en-CA"/>
        </w:rPr>
      </w:pPr>
    </w:p>
    <w:p w:rsidR="00AC6E40" w:rsidRPr="009D3CBA" w:rsidRDefault="00AC6E40" w:rsidP="009D3CBA">
      <w:pPr>
        <w:rPr>
          <w:rFonts w:ascii="Times New Roman" w:hAnsi="Times New Roman"/>
          <w:i/>
          <w:sz w:val="24"/>
          <w:szCs w:val="24"/>
        </w:rPr>
      </w:pPr>
      <w:r w:rsidRPr="009D3CBA">
        <w:rPr>
          <w:rFonts w:ascii="Times New Roman" w:hAnsi="Times New Roman"/>
          <w:i/>
          <w:sz w:val="24"/>
          <w:szCs w:val="24"/>
        </w:rPr>
        <w:t>Initial Assessment</w:t>
      </w:r>
    </w:p>
    <w:p w:rsidR="00AC6E40" w:rsidRDefault="00AC6E40" w:rsidP="00AC6E40">
      <w:pPr>
        <w:autoSpaceDE w:val="0"/>
        <w:autoSpaceDN w:val="0"/>
        <w:adjustRightInd w:val="0"/>
        <w:rPr>
          <w:rFonts w:ascii="Times New Roman" w:hAnsi="Times New Roman"/>
          <w:sz w:val="24"/>
          <w:lang w:val="en-CA"/>
        </w:rPr>
      </w:pPr>
      <w:r>
        <w:rPr>
          <w:rFonts w:ascii="Times New Roman" w:hAnsi="Times New Roman"/>
          <w:sz w:val="24"/>
          <w:szCs w:val="24"/>
        </w:rPr>
        <w:t xml:space="preserve">An initial assessment will assist the team in determining if a </w:t>
      </w:r>
      <w:r w:rsidR="008538E6">
        <w:rPr>
          <w:rFonts w:ascii="Times New Roman" w:hAnsi="Times New Roman"/>
          <w:sz w:val="24"/>
          <w:szCs w:val="24"/>
        </w:rPr>
        <w:t>review of the structure of the Framework itself is warranted</w:t>
      </w:r>
      <w:r>
        <w:rPr>
          <w:rFonts w:ascii="Times New Roman" w:hAnsi="Times New Roman"/>
          <w:sz w:val="24"/>
          <w:szCs w:val="24"/>
        </w:rPr>
        <w:t>.</w:t>
      </w:r>
      <w:r>
        <w:rPr>
          <w:rFonts w:ascii="Times New Roman" w:hAnsi="Times New Roman"/>
          <w:sz w:val="24"/>
          <w:lang w:val="en-CA"/>
        </w:rPr>
        <w:t xml:space="preserve"> </w:t>
      </w:r>
      <w:r w:rsidRPr="00F46D5F">
        <w:rPr>
          <w:rFonts w:ascii="Times New Roman" w:hAnsi="Times New Roman"/>
          <w:sz w:val="24"/>
          <w:lang w:val="en-CA"/>
        </w:rPr>
        <w:t xml:space="preserve">A </w:t>
      </w:r>
      <w:r w:rsidR="00BE0253">
        <w:rPr>
          <w:rFonts w:ascii="Times New Roman" w:hAnsi="Times New Roman"/>
          <w:sz w:val="24"/>
          <w:lang w:val="en-CA"/>
        </w:rPr>
        <w:t xml:space="preserve">structural </w:t>
      </w:r>
      <w:r w:rsidRPr="00F46D5F">
        <w:rPr>
          <w:rFonts w:ascii="Times New Roman" w:hAnsi="Times New Roman"/>
          <w:sz w:val="24"/>
          <w:lang w:val="en-CA"/>
        </w:rPr>
        <w:t xml:space="preserve">review would </w:t>
      </w:r>
      <w:r w:rsidR="00F84CB5">
        <w:rPr>
          <w:rFonts w:ascii="Times New Roman" w:hAnsi="Times New Roman"/>
          <w:sz w:val="24"/>
          <w:lang w:val="en-CA"/>
        </w:rPr>
        <w:t xml:space="preserve">involve a renewal of the </w:t>
      </w:r>
      <w:r w:rsidRPr="00F46D5F">
        <w:rPr>
          <w:rFonts w:ascii="Times New Roman" w:hAnsi="Times New Roman"/>
          <w:sz w:val="24"/>
          <w:lang w:val="en-CA"/>
        </w:rPr>
        <w:t>Framework to reflect current circumstances</w:t>
      </w:r>
      <w:r w:rsidR="008538E6">
        <w:rPr>
          <w:rFonts w:ascii="Times New Roman" w:hAnsi="Times New Roman"/>
          <w:sz w:val="24"/>
          <w:lang w:val="en-CA"/>
        </w:rPr>
        <w:t>, as appropriate</w:t>
      </w:r>
      <w:r w:rsidRPr="00F46D5F">
        <w:rPr>
          <w:rFonts w:ascii="Times New Roman" w:hAnsi="Times New Roman"/>
          <w:sz w:val="24"/>
          <w:lang w:val="en-CA"/>
        </w:rPr>
        <w:t>.</w:t>
      </w:r>
      <w:r w:rsidR="00CA3BE2">
        <w:rPr>
          <w:rFonts w:ascii="Times New Roman" w:hAnsi="Times New Roman"/>
          <w:sz w:val="24"/>
          <w:lang w:val="en-CA"/>
        </w:rPr>
        <w:t xml:space="preserve"> </w:t>
      </w:r>
    </w:p>
    <w:p w:rsidR="00AC6E40" w:rsidRPr="00AC6E40" w:rsidRDefault="00AC6E40" w:rsidP="004544E3">
      <w:pPr>
        <w:rPr>
          <w:rFonts w:ascii="Times New Roman" w:hAnsi="Times New Roman"/>
          <w:sz w:val="24"/>
          <w:szCs w:val="24"/>
        </w:rPr>
      </w:pPr>
    </w:p>
    <w:p w:rsidR="004544E3" w:rsidRPr="006A2B08" w:rsidRDefault="004544E3" w:rsidP="00D0385E">
      <w:pPr>
        <w:pStyle w:val="ListParagraph"/>
        <w:numPr>
          <w:ilvl w:val="0"/>
          <w:numId w:val="9"/>
        </w:numPr>
        <w:rPr>
          <w:rFonts w:ascii="Times New Roman" w:hAnsi="Times New Roman"/>
          <w:sz w:val="24"/>
          <w:szCs w:val="24"/>
        </w:rPr>
      </w:pPr>
      <w:r w:rsidRPr="006A2B08">
        <w:rPr>
          <w:rFonts w:ascii="Times New Roman" w:hAnsi="Times New Roman"/>
          <w:sz w:val="24"/>
          <w:szCs w:val="24"/>
        </w:rPr>
        <w:t>Identify potential implications and emissions management issues for the CASA Framework, created by the implementation of Canada’s</w:t>
      </w:r>
      <w:r w:rsidRPr="002307E9">
        <w:rPr>
          <w:rFonts w:ascii="Times New Roman" w:hAnsi="Times New Roman"/>
          <w:sz w:val="24"/>
          <w:szCs w:val="24"/>
        </w:rPr>
        <w:t xml:space="preserve"> GHG</w:t>
      </w:r>
      <w:r>
        <w:rPr>
          <w:rFonts w:ascii="Times New Roman" w:hAnsi="Times New Roman"/>
          <w:sz w:val="24"/>
          <w:szCs w:val="24"/>
        </w:rPr>
        <w:t xml:space="preserve"> Regulations</w:t>
      </w:r>
      <w:r w:rsidRPr="006A2B08">
        <w:rPr>
          <w:rFonts w:ascii="Times New Roman" w:hAnsi="Times New Roman"/>
          <w:sz w:val="24"/>
          <w:szCs w:val="24"/>
        </w:rPr>
        <w:t>.</w:t>
      </w:r>
    </w:p>
    <w:p w:rsidR="004544E3" w:rsidRPr="006A2B08" w:rsidRDefault="004544E3" w:rsidP="004544E3">
      <w:pPr>
        <w:ind w:left="1080"/>
        <w:rPr>
          <w:rFonts w:ascii="Times New Roman" w:hAnsi="Times New Roman"/>
          <w:sz w:val="24"/>
          <w:szCs w:val="24"/>
        </w:rPr>
      </w:pPr>
    </w:p>
    <w:p w:rsidR="004544E3" w:rsidRPr="006A2B08" w:rsidRDefault="004544E3" w:rsidP="004544E3">
      <w:pPr>
        <w:pBdr>
          <w:top w:val="single" w:sz="4" w:space="1" w:color="auto"/>
          <w:left w:val="single" w:sz="4" w:space="4" w:color="auto"/>
          <w:bottom w:val="single" w:sz="4" w:space="1" w:color="auto"/>
          <w:right w:val="single" w:sz="4" w:space="4" w:color="auto"/>
        </w:pBdr>
        <w:shd w:val="clear" w:color="auto" w:fill="F2F2F2" w:themeFill="background1" w:themeFillShade="F2"/>
        <w:ind w:left="360"/>
        <w:rPr>
          <w:rFonts w:ascii="Times New Roman" w:hAnsi="Times New Roman"/>
          <w:sz w:val="24"/>
          <w:szCs w:val="24"/>
        </w:rPr>
      </w:pPr>
      <w:r w:rsidRPr="006A2B08">
        <w:rPr>
          <w:rFonts w:ascii="Times New Roman" w:hAnsi="Times New Roman"/>
          <w:sz w:val="24"/>
          <w:szCs w:val="24"/>
        </w:rPr>
        <w:t>Inputs</w:t>
      </w:r>
      <w:r>
        <w:rPr>
          <w:rFonts w:ascii="Times New Roman" w:hAnsi="Times New Roman"/>
          <w:sz w:val="24"/>
          <w:szCs w:val="24"/>
        </w:rPr>
        <w:t xml:space="preserve"> may include:</w:t>
      </w:r>
    </w:p>
    <w:p w:rsidR="004544E3" w:rsidRPr="006A2B08" w:rsidRDefault="004544E3" w:rsidP="004544E3">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sz w:val="24"/>
          <w:szCs w:val="24"/>
        </w:rPr>
      </w:pPr>
      <w:r w:rsidRPr="006A2B08">
        <w:rPr>
          <w:rFonts w:ascii="Times New Roman" w:hAnsi="Times New Roman"/>
          <w:sz w:val="24"/>
          <w:szCs w:val="24"/>
        </w:rPr>
        <w:t>The Regulations are published in the Canada Gazette, Part II, Vol. 146, No. 19, September 12, 2012.</w:t>
      </w:r>
    </w:p>
    <w:p w:rsidR="004544E3" w:rsidRDefault="004544E3" w:rsidP="00712D5F">
      <w:pPr>
        <w:rPr>
          <w:rFonts w:ascii="Times New Roman" w:hAnsi="Times New Roman"/>
          <w:b/>
          <w:sz w:val="24"/>
          <w:szCs w:val="24"/>
        </w:rPr>
      </w:pPr>
    </w:p>
    <w:p w:rsidR="00712D5F" w:rsidRDefault="00712D5F" w:rsidP="00712D5F">
      <w:pPr>
        <w:pStyle w:val="ListParagraph"/>
        <w:numPr>
          <w:ilvl w:val="0"/>
          <w:numId w:val="9"/>
        </w:numPr>
        <w:rPr>
          <w:rFonts w:ascii="Times New Roman" w:hAnsi="Times New Roman"/>
          <w:sz w:val="24"/>
          <w:szCs w:val="24"/>
        </w:rPr>
      </w:pPr>
      <w:r>
        <w:rPr>
          <w:rFonts w:ascii="Times New Roman" w:hAnsi="Times New Roman"/>
          <w:sz w:val="24"/>
          <w:szCs w:val="24"/>
        </w:rPr>
        <w:t>Update the emissions forecast for NOx, SO</w:t>
      </w:r>
      <w:r w:rsidRPr="00730CDA">
        <w:rPr>
          <w:rFonts w:ascii="Times New Roman" w:hAnsi="Times New Roman"/>
          <w:sz w:val="24"/>
          <w:szCs w:val="24"/>
          <w:vertAlign w:val="subscript"/>
        </w:rPr>
        <w:t>2</w:t>
      </w:r>
      <w:r>
        <w:rPr>
          <w:rFonts w:ascii="Times New Roman" w:hAnsi="Times New Roman"/>
          <w:sz w:val="24"/>
          <w:szCs w:val="24"/>
        </w:rPr>
        <w:t xml:space="preserve">, PM and Mercury and determine if the emissions are 15% higher for a five-year period than projected in the previous Five-Year Review. </w:t>
      </w:r>
    </w:p>
    <w:p w:rsidR="00623E85" w:rsidRPr="00623E85" w:rsidRDefault="00623E85" w:rsidP="00623E85">
      <w:pPr>
        <w:rPr>
          <w:rFonts w:ascii="Times New Roman" w:hAnsi="Times New Roman"/>
          <w:sz w:val="24"/>
          <w:szCs w:val="24"/>
        </w:rPr>
      </w:pPr>
    </w:p>
    <w:p w:rsidR="0083092B" w:rsidRDefault="00712D5F" w:rsidP="00712D5F">
      <w:pPr>
        <w:pStyle w:val="ListParagraph"/>
        <w:numPr>
          <w:ilvl w:val="0"/>
          <w:numId w:val="9"/>
        </w:numPr>
        <w:rPr>
          <w:rFonts w:ascii="Times New Roman" w:hAnsi="Times New Roman"/>
          <w:sz w:val="24"/>
          <w:szCs w:val="24"/>
        </w:rPr>
      </w:pPr>
      <w:r>
        <w:rPr>
          <w:rFonts w:ascii="Times New Roman" w:hAnsi="Times New Roman"/>
          <w:sz w:val="24"/>
          <w:szCs w:val="24"/>
        </w:rPr>
        <w:t xml:space="preserve">Determine if the economic assumptions underlying the framework are significantly different, as to adversely affect the viability of the electricity sector. </w:t>
      </w:r>
    </w:p>
    <w:p w:rsidR="00712D5F" w:rsidRDefault="00712D5F" w:rsidP="0083092B">
      <w:pPr>
        <w:rPr>
          <w:rFonts w:ascii="Times New Roman" w:hAnsi="Times New Roman"/>
          <w:sz w:val="24"/>
          <w:szCs w:val="24"/>
        </w:rPr>
      </w:pPr>
      <w:r w:rsidRPr="0083092B">
        <w:rPr>
          <w:rFonts w:ascii="Times New Roman" w:hAnsi="Times New Roman"/>
          <w:sz w:val="24"/>
          <w:szCs w:val="24"/>
        </w:rPr>
        <w:t xml:space="preserve"> </w:t>
      </w:r>
    </w:p>
    <w:p w:rsidR="009D3CBA" w:rsidRPr="009D3CBA" w:rsidRDefault="009D3CBA" w:rsidP="0083092B">
      <w:pPr>
        <w:rPr>
          <w:rFonts w:ascii="Times New Roman" w:hAnsi="Times New Roman"/>
          <w:i/>
          <w:sz w:val="24"/>
          <w:szCs w:val="24"/>
        </w:rPr>
      </w:pPr>
      <w:r w:rsidRPr="009D3CBA">
        <w:rPr>
          <w:rFonts w:ascii="Times New Roman" w:hAnsi="Times New Roman"/>
          <w:i/>
          <w:sz w:val="24"/>
          <w:szCs w:val="24"/>
        </w:rPr>
        <w:t>Structural Review</w:t>
      </w:r>
    </w:p>
    <w:p w:rsidR="00E7489B" w:rsidRPr="00314BD1" w:rsidRDefault="0072361C" w:rsidP="00E7489B">
      <w:pPr>
        <w:rPr>
          <w:rFonts w:ascii="Times New Roman" w:hAnsi="Times New Roman"/>
          <w:sz w:val="24"/>
          <w:szCs w:val="24"/>
        </w:rPr>
      </w:pPr>
      <w:r w:rsidRPr="0072361C">
        <w:rPr>
          <w:rFonts w:ascii="Times New Roman" w:hAnsi="Times New Roman"/>
          <w:sz w:val="24"/>
          <w:szCs w:val="24"/>
        </w:rPr>
        <w:t xml:space="preserve">Based on the results of the initial assessment, </w:t>
      </w:r>
      <w:r>
        <w:rPr>
          <w:rFonts w:ascii="Times New Roman" w:hAnsi="Times New Roman"/>
          <w:sz w:val="24"/>
          <w:szCs w:val="24"/>
        </w:rPr>
        <w:t xml:space="preserve">team members would </w:t>
      </w:r>
      <w:r w:rsidRPr="0072361C">
        <w:rPr>
          <w:rFonts w:ascii="Times New Roman" w:hAnsi="Times New Roman"/>
          <w:sz w:val="24"/>
          <w:szCs w:val="24"/>
        </w:rPr>
        <w:t>determine if a full structural review of the Framework is warranted.</w:t>
      </w:r>
      <w:r>
        <w:rPr>
          <w:rFonts w:ascii="Times New Roman" w:hAnsi="Times New Roman"/>
          <w:sz w:val="24"/>
          <w:szCs w:val="24"/>
        </w:rPr>
        <w:t xml:space="preserve"> </w:t>
      </w:r>
      <w:r w:rsidR="00E7489B">
        <w:rPr>
          <w:rFonts w:ascii="Times New Roman" w:hAnsi="Times New Roman"/>
          <w:sz w:val="24"/>
          <w:szCs w:val="24"/>
        </w:rPr>
        <w:t>A structural review may include the i</w:t>
      </w:r>
      <w:r w:rsidR="00E7489B" w:rsidRPr="00E7489B">
        <w:rPr>
          <w:rFonts w:ascii="Times New Roman" w:hAnsi="Times New Roman"/>
          <w:sz w:val="24"/>
          <w:szCs w:val="24"/>
        </w:rPr>
        <w:t>dentif</w:t>
      </w:r>
      <w:r w:rsidR="00E7489B">
        <w:rPr>
          <w:rFonts w:ascii="Times New Roman" w:hAnsi="Times New Roman"/>
          <w:sz w:val="24"/>
          <w:szCs w:val="24"/>
        </w:rPr>
        <w:t xml:space="preserve">ication </w:t>
      </w:r>
      <w:r w:rsidR="009D3CBA">
        <w:rPr>
          <w:rFonts w:ascii="Times New Roman" w:hAnsi="Times New Roman"/>
          <w:sz w:val="24"/>
          <w:szCs w:val="24"/>
        </w:rPr>
        <w:t xml:space="preserve">of </w:t>
      </w:r>
      <w:r w:rsidR="009D3CBA" w:rsidRPr="00E7489B">
        <w:rPr>
          <w:rFonts w:ascii="Times New Roman" w:hAnsi="Times New Roman"/>
          <w:sz w:val="24"/>
          <w:szCs w:val="24"/>
        </w:rPr>
        <w:t>possible</w:t>
      </w:r>
      <w:r w:rsidR="00E7489B" w:rsidRPr="00E7489B">
        <w:rPr>
          <w:rFonts w:ascii="Times New Roman" w:hAnsi="Times New Roman"/>
          <w:sz w:val="24"/>
          <w:szCs w:val="24"/>
        </w:rPr>
        <w:t xml:space="preserve"> issues and opportunities for Framework renewal and </w:t>
      </w:r>
      <w:r w:rsidR="00E7489B">
        <w:rPr>
          <w:rFonts w:ascii="Times New Roman" w:hAnsi="Times New Roman"/>
          <w:sz w:val="24"/>
          <w:szCs w:val="24"/>
        </w:rPr>
        <w:t xml:space="preserve">the </w:t>
      </w:r>
      <w:r w:rsidR="00E7489B" w:rsidRPr="00E7489B">
        <w:rPr>
          <w:rFonts w:ascii="Times New Roman" w:hAnsi="Times New Roman"/>
          <w:sz w:val="24"/>
          <w:szCs w:val="24"/>
        </w:rPr>
        <w:t>develop</w:t>
      </w:r>
      <w:r w:rsidR="00E7489B">
        <w:rPr>
          <w:rFonts w:ascii="Times New Roman" w:hAnsi="Times New Roman"/>
          <w:sz w:val="24"/>
          <w:szCs w:val="24"/>
        </w:rPr>
        <w:t>ment of</w:t>
      </w:r>
      <w:r w:rsidR="00E7489B" w:rsidRPr="00E7489B">
        <w:rPr>
          <w:rFonts w:ascii="Times New Roman" w:hAnsi="Times New Roman"/>
          <w:sz w:val="24"/>
          <w:szCs w:val="24"/>
        </w:rPr>
        <w:t xml:space="preserve"> general terms for the agreement based on emerging themes.</w:t>
      </w:r>
      <w:r w:rsidR="00E7489B">
        <w:rPr>
          <w:rFonts w:ascii="Times New Roman" w:hAnsi="Times New Roman"/>
          <w:sz w:val="24"/>
          <w:szCs w:val="24"/>
        </w:rPr>
        <w:t xml:space="preserve"> The d</w:t>
      </w:r>
      <w:r w:rsidR="00E7489B" w:rsidRPr="00314BD1">
        <w:rPr>
          <w:rFonts w:ascii="Times New Roman" w:hAnsi="Times New Roman"/>
          <w:sz w:val="24"/>
          <w:szCs w:val="24"/>
        </w:rPr>
        <w:t>evelop</w:t>
      </w:r>
      <w:r w:rsidR="00E7489B">
        <w:rPr>
          <w:rFonts w:ascii="Times New Roman" w:hAnsi="Times New Roman"/>
          <w:sz w:val="24"/>
          <w:szCs w:val="24"/>
        </w:rPr>
        <w:t xml:space="preserve">ment of a suite of </w:t>
      </w:r>
      <w:r w:rsidR="00E7489B" w:rsidRPr="00314BD1">
        <w:rPr>
          <w:rFonts w:ascii="Times New Roman" w:hAnsi="Times New Roman"/>
          <w:sz w:val="24"/>
          <w:szCs w:val="24"/>
        </w:rPr>
        <w:t xml:space="preserve">management options for Framework renewal and </w:t>
      </w:r>
      <w:r w:rsidR="00E7489B">
        <w:rPr>
          <w:rFonts w:ascii="Times New Roman" w:hAnsi="Times New Roman"/>
          <w:sz w:val="24"/>
          <w:szCs w:val="24"/>
        </w:rPr>
        <w:t xml:space="preserve">the </w:t>
      </w:r>
      <w:r w:rsidR="00E7489B" w:rsidRPr="00314BD1">
        <w:rPr>
          <w:rFonts w:ascii="Times New Roman" w:hAnsi="Times New Roman"/>
          <w:sz w:val="24"/>
          <w:szCs w:val="24"/>
        </w:rPr>
        <w:t xml:space="preserve">evaluation of the various options using the economic and </w:t>
      </w:r>
      <w:r w:rsidR="00E7489B" w:rsidRPr="005E2C6F">
        <w:rPr>
          <w:rFonts w:ascii="Times New Roman" w:hAnsi="Times New Roman"/>
          <w:sz w:val="24"/>
          <w:szCs w:val="24"/>
        </w:rPr>
        <w:t xml:space="preserve">environmental </w:t>
      </w:r>
      <w:r w:rsidR="00E7489B">
        <w:rPr>
          <w:rFonts w:ascii="Times New Roman" w:hAnsi="Times New Roman"/>
          <w:sz w:val="24"/>
          <w:szCs w:val="24"/>
        </w:rPr>
        <w:t>base cases may also be part of this work.</w:t>
      </w:r>
    </w:p>
    <w:p w:rsidR="00681DC4" w:rsidRDefault="00681DC4" w:rsidP="006A2B08">
      <w:pPr>
        <w:rPr>
          <w:rFonts w:ascii="Times New Roman" w:hAnsi="Times New Roman"/>
          <w:b/>
          <w:sz w:val="24"/>
          <w:szCs w:val="24"/>
        </w:rPr>
      </w:pPr>
    </w:p>
    <w:p w:rsidR="00163B9F" w:rsidRPr="00A43F06" w:rsidRDefault="00163B9F" w:rsidP="00163B9F">
      <w:pPr>
        <w:rPr>
          <w:rFonts w:ascii="Times New Roman" w:hAnsi="Times New Roman"/>
          <w:i/>
          <w:sz w:val="24"/>
          <w:szCs w:val="24"/>
        </w:rPr>
      </w:pPr>
      <w:r>
        <w:rPr>
          <w:rFonts w:ascii="Times New Roman" w:hAnsi="Times New Roman"/>
          <w:i/>
          <w:sz w:val="24"/>
          <w:szCs w:val="24"/>
        </w:rPr>
        <w:t>Information Collection/Analysis</w:t>
      </w:r>
    </w:p>
    <w:p w:rsidR="00A43F06" w:rsidRPr="00A43F06" w:rsidRDefault="00554F2A" w:rsidP="006A2B08">
      <w:pPr>
        <w:rPr>
          <w:rFonts w:ascii="Times New Roman" w:hAnsi="Times New Roman"/>
          <w:sz w:val="24"/>
          <w:szCs w:val="24"/>
        </w:rPr>
      </w:pPr>
      <w:r>
        <w:rPr>
          <w:rFonts w:ascii="Times New Roman" w:hAnsi="Times New Roman"/>
          <w:sz w:val="24"/>
          <w:szCs w:val="24"/>
        </w:rPr>
        <w:t>T</w:t>
      </w:r>
      <w:r w:rsidR="00A43F06" w:rsidRPr="00A43F06">
        <w:rPr>
          <w:rFonts w:ascii="Times New Roman" w:hAnsi="Times New Roman"/>
          <w:sz w:val="24"/>
          <w:szCs w:val="24"/>
        </w:rPr>
        <w:t xml:space="preserve">he team should </w:t>
      </w:r>
      <w:r w:rsidR="00706ECE">
        <w:rPr>
          <w:rFonts w:ascii="Times New Roman" w:hAnsi="Times New Roman"/>
          <w:sz w:val="24"/>
          <w:szCs w:val="24"/>
        </w:rPr>
        <w:t>carry out</w:t>
      </w:r>
      <w:r w:rsidR="00A43F06" w:rsidRPr="00A43F06">
        <w:rPr>
          <w:rFonts w:ascii="Times New Roman" w:hAnsi="Times New Roman"/>
          <w:sz w:val="24"/>
          <w:szCs w:val="24"/>
        </w:rPr>
        <w:t xml:space="preserve"> the tasks described in Recommendation 29</w:t>
      </w:r>
      <w:r w:rsidR="00935B13">
        <w:rPr>
          <w:rFonts w:ascii="Times New Roman" w:hAnsi="Times New Roman"/>
          <w:sz w:val="24"/>
          <w:szCs w:val="24"/>
        </w:rPr>
        <w:t xml:space="preserve"> (Five-Year Review) and</w:t>
      </w:r>
      <w:r w:rsidRPr="00554F2A">
        <w:rPr>
          <w:rFonts w:ascii="Times New Roman" w:hAnsi="Times New Roman"/>
          <w:sz w:val="24"/>
          <w:szCs w:val="24"/>
        </w:rPr>
        <w:t xml:space="preserve"> </w:t>
      </w:r>
      <w:r>
        <w:rPr>
          <w:rFonts w:ascii="Times New Roman" w:hAnsi="Times New Roman"/>
          <w:sz w:val="24"/>
          <w:szCs w:val="24"/>
        </w:rPr>
        <w:t xml:space="preserve">Recommendation 22 (PM Management System) </w:t>
      </w:r>
      <w:r w:rsidR="008736E8">
        <w:rPr>
          <w:rFonts w:ascii="Times New Roman" w:hAnsi="Times New Roman"/>
          <w:sz w:val="24"/>
          <w:szCs w:val="24"/>
        </w:rPr>
        <w:t>in the Framework</w:t>
      </w:r>
      <w:r w:rsidR="00935B13">
        <w:rPr>
          <w:rFonts w:ascii="Times New Roman" w:hAnsi="Times New Roman"/>
          <w:sz w:val="24"/>
          <w:szCs w:val="24"/>
        </w:rPr>
        <w:t>,</w:t>
      </w:r>
      <w:r w:rsidR="008736E8">
        <w:rPr>
          <w:rFonts w:ascii="Times New Roman" w:hAnsi="Times New Roman"/>
          <w:sz w:val="24"/>
          <w:szCs w:val="24"/>
        </w:rPr>
        <w:t xml:space="preserve"> </w:t>
      </w:r>
      <w:r>
        <w:rPr>
          <w:rFonts w:ascii="Times New Roman" w:hAnsi="Times New Roman"/>
          <w:sz w:val="24"/>
          <w:szCs w:val="24"/>
        </w:rPr>
        <w:t xml:space="preserve">and Recommendation 1 of the 2010 </w:t>
      </w:r>
      <w:r w:rsidR="008736E8">
        <w:rPr>
          <w:rFonts w:ascii="Times New Roman" w:hAnsi="Times New Roman"/>
          <w:sz w:val="24"/>
          <w:szCs w:val="24"/>
        </w:rPr>
        <w:t xml:space="preserve">Five-Year Review </w:t>
      </w:r>
      <w:r>
        <w:rPr>
          <w:rFonts w:ascii="Times New Roman" w:hAnsi="Times New Roman"/>
          <w:sz w:val="24"/>
          <w:szCs w:val="24"/>
        </w:rPr>
        <w:t>Report (implementation status of emissions trading recommendations)</w:t>
      </w:r>
      <w:r w:rsidR="00706ECE">
        <w:rPr>
          <w:rFonts w:ascii="Times New Roman" w:hAnsi="Times New Roman"/>
          <w:sz w:val="24"/>
          <w:szCs w:val="24"/>
        </w:rPr>
        <w:t xml:space="preserve">, including </w:t>
      </w:r>
      <w:r w:rsidR="00A309F4">
        <w:rPr>
          <w:rFonts w:ascii="Times New Roman" w:hAnsi="Times New Roman"/>
          <w:sz w:val="24"/>
          <w:szCs w:val="24"/>
        </w:rPr>
        <w:t>commissioning</w:t>
      </w:r>
      <w:r w:rsidR="00706ECE">
        <w:rPr>
          <w:rFonts w:ascii="Times New Roman" w:hAnsi="Times New Roman"/>
          <w:sz w:val="24"/>
          <w:szCs w:val="24"/>
        </w:rPr>
        <w:t xml:space="preserve"> information gathering, as required</w:t>
      </w:r>
      <w:r>
        <w:rPr>
          <w:rFonts w:ascii="Times New Roman" w:hAnsi="Times New Roman"/>
          <w:sz w:val="24"/>
          <w:szCs w:val="24"/>
        </w:rPr>
        <w:t xml:space="preserve">. If a structural review is not deemed necessary, the </w:t>
      </w:r>
      <w:r w:rsidR="00AB2C17">
        <w:rPr>
          <w:rFonts w:ascii="Times New Roman" w:hAnsi="Times New Roman"/>
          <w:sz w:val="24"/>
          <w:szCs w:val="24"/>
        </w:rPr>
        <w:t xml:space="preserve">team </w:t>
      </w:r>
      <w:r w:rsidR="00403F04">
        <w:rPr>
          <w:rFonts w:ascii="Times New Roman" w:hAnsi="Times New Roman"/>
          <w:sz w:val="24"/>
          <w:szCs w:val="24"/>
        </w:rPr>
        <w:t>should</w:t>
      </w:r>
      <w:r w:rsidR="00AB2C17" w:rsidRPr="00CB76C9">
        <w:rPr>
          <w:rFonts w:ascii="Times New Roman" w:hAnsi="Times New Roman"/>
          <w:sz w:val="24"/>
          <w:szCs w:val="24"/>
        </w:rPr>
        <w:t xml:space="preserve"> develop recommendations to update the </w:t>
      </w:r>
      <w:r w:rsidR="00403F04">
        <w:rPr>
          <w:rFonts w:ascii="Times New Roman" w:hAnsi="Times New Roman"/>
          <w:sz w:val="24"/>
          <w:szCs w:val="24"/>
        </w:rPr>
        <w:t xml:space="preserve">elements of the </w:t>
      </w:r>
      <w:r w:rsidR="00A43F06" w:rsidRPr="00CB76C9">
        <w:rPr>
          <w:rFonts w:ascii="Times New Roman" w:hAnsi="Times New Roman"/>
          <w:sz w:val="24"/>
          <w:szCs w:val="24"/>
        </w:rPr>
        <w:t>Framework</w:t>
      </w:r>
      <w:r w:rsidR="00403F04">
        <w:rPr>
          <w:rFonts w:ascii="Times New Roman" w:hAnsi="Times New Roman"/>
          <w:sz w:val="24"/>
          <w:szCs w:val="24"/>
        </w:rPr>
        <w:t xml:space="preserve"> described in Recommendation 29</w:t>
      </w:r>
      <w:r w:rsidR="0044616E">
        <w:rPr>
          <w:rFonts w:ascii="Times New Roman" w:hAnsi="Times New Roman"/>
          <w:sz w:val="24"/>
          <w:szCs w:val="24"/>
        </w:rPr>
        <w:t xml:space="preserve">, based on this information. </w:t>
      </w:r>
      <w:r w:rsidR="00CB76C9" w:rsidRPr="0044616E">
        <w:rPr>
          <w:sz w:val="24"/>
          <w:szCs w:val="24"/>
        </w:rPr>
        <w:t xml:space="preserve">If a structural review </w:t>
      </w:r>
      <w:r w:rsidR="0044616E">
        <w:rPr>
          <w:sz w:val="24"/>
          <w:szCs w:val="24"/>
        </w:rPr>
        <w:t>is</w:t>
      </w:r>
      <w:r w:rsidR="00CB76C9" w:rsidRPr="0044616E">
        <w:rPr>
          <w:sz w:val="24"/>
          <w:szCs w:val="24"/>
        </w:rPr>
        <w:t xml:space="preserve"> deemed necessary</w:t>
      </w:r>
      <w:r w:rsidR="0044616E">
        <w:rPr>
          <w:sz w:val="24"/>
          <w:szCs w:val="24"/>
        </w:rPr>
        <w:t>, the team may still need to</w:t>
      </w:r>
      <w:r w:rsidR="00CB76C9" w:rsidRPr="0044616E">
        <w:rPr>
          <w:sz w:val="24"/>
          <w:szCs w:val="24"/>
        </w:rPr>
        <w:t xml:space="preserve"> </w:t>
      </w:r>
      <w:r w:rsidR="0044616E" w:rsidRPr="00CB76C9">
        <w:rPr>
          <w:rFonts w:ascii="Times New Roman" w:hAnsi="Times New Roman"/>
          <w:sz w:val="24"/>
          <w:szCs w:val="24"/>
        </w:rPr>
        <w:t xml:space="preserve">develop recommendations to update the </w:t>
      </w:r>
      <w:r w:rsidR="0044616E">
        <w:rPr>
          <w:rFonts w:ascii="Times New Roman" w:hAnsi="Times New Roman"/>
          <w:sz w:val="24"/>
          <w:szCs w:val="24"/>
        </w:rPr>
        <w:t xml:space="preserve">elements of the </w:t>
      </w:r>
      <w:r w:rsidR="0044616E" w:rsidRPr="00CB76C9">
        <w:rPr>
          <w:rFonts w:ascii="Times New Roman" w:hAnsi="Times New Roman"/>
          <w:sz w:val="24"/>
          <w:szCs w:val="24"/>
        </w:rPr>
        <w:t>Framework</w:t>
      </w:r>
      <w:r w:rsidR="0044616E">
        <w:rPr>
          <w:rFonts w:ascii="Times New Roman" w:hAnsi="Times New Roman"/>
          <w:sz w:val="24"/>
          <w:szCs w:val="24"/>
        </w:rPr>
        <w:t xml:space="preserve"> described in Recommendation 29</w:t>
      </w:r>
      <w:r w:rsidR="00CB76C9" w:rsidRPr="0044616E">
        <w:rPr>
          <w:sz w:val="24"/>
          <w:szCs w:val="24"/>
        </w:rPr>
        <w:t>, subject to the nature and scope of any structural changes that may arise.</w:t>
      </w:r>
      <w:r w:rsidR="00CB76C9">
        <w:t xml:space="preserve"> </w:t>
      </w:r>
    </w:p>
    <w:p w:rsidR="00A43F06" w:rsidRDefault="00A43F06" w:rsidP="006A2B08">
      <w:pPr>
        <w:rPr>
          <w:rFonts w:ascii="Times New Roman" w:hAnsi="Times New Roman"/>
          <w:b/>
          <w:sz w:val="24"/>
          <w:szCs w:val="24"/>
        </w:rPr>
      </w:pPr>
    </w:p>
    <w:p w:rsidR="006A2B08" w:rsidRPr="00ED6C78" w:rsidRDefault="006A2B08" w:rsidP="006A2B08">
      <w:pPr>
        <w:rPr>
          <w:rFonts w:ascii="Times New Roman" w:hAnsi="Times New Roman"/>
          <w:sz w:val="24"/>
          <w:szCs w:val="24"/>
        </w:rPr>
      </w:pPr>
      <w:r w:rsidRPr="00ED6C78">
        <w:rPr>
          <w:rFonts w:ascii="Times New Roman" w:hAnsi="Times New Roman"/>
          <w:sz w:val="24"/>
          <w:szCs w:val="24"/>
        </w:rPr>
        <w:t>Control Technologies and Reduction Strategies</w:t>
      </w:r>
    </w:p>
    <w:p w:rsidR="006A2B08" w:rsidRPr="006A2B08" w:rsidRDefault="006A2B08" w:rsidP="006A2B08">
      <w:pPr>
        <w:pStyle w:val="ListParagraph"/>
        <w:numPr>
          <w:ilvl w:val="0"/>
          <w:numId w:val="9"/>
        </w:numPr>
        <w:rPr>
          <w:rFonts w:ascii="Times New Roman" w:hAnsi="Times New Roman"/>
          <w:sz w:val="24"/>
          <w:szCs w:val="24"/>
        </w:rPr>
      </w:pPr>
      <w:r w:rsidRPr="006A2B08">
        <w:rPr>
          <w:rFonts w:ascii="Times New Roman" w:hAnsi="Times New Roman"/>
          <w:sz w:val="24"/>
          <w:szCs w:val="24"/>
        </w:rPr>
        <w:t xml:space="preserve">Determine emission standards and corresponding deemed credit threshold for new thermal generation units, including </w:t>
      </w:r>
      <w:r w:rsidR="004C58C5">
        <w:rPr>
          <w:rFonts w:ascii="Times New Roman" w:hAnsi="Times New Roman"/>
          <w:sz w:val="24"/>
          <w:szCs w:val="24"/>
        </w:rPr>
        <w:t xml:space="preserve">gas-fired </w:t>
      </w:r>
      <w:r w:rsidRPr="006A2B08">
        <w:rPr>
          <w:rFonts w:ascii="Times New Roman" w:hAnsi="Times New Roman"/>
          <w:sz w:val="24"/>
          <w:szCs w:val="24"/>
        </w:rPr>
        <w:t>new peaking units, based on the Best Available Technology Economically Achievable (BATEA).</w:t>
      </w:r>
    </w:p>
    <w:p w:rsidR="006A2B08" w:rsidRPr="006A2B08" w:rsidRDefault="006A2B08" w:rsidP="006A2B08">
      <w:pPr>
        <w:pStyle w:val="ListParagraph"/>
        <w:ind w:left="360"/>
        <w:rPr>
          <w:rFonts w:ascii="Times New Roman" w:hAnsi="Times New Roman"/>
          <w:sz w:val="24"/>
          <w:szCs w:val="24"/>
        </w:rPr>
      </w:pPr>
    </w:p>
    <w:p w:rsidR="006A2B08" w:rsidRPr="006A2B08" w:rsidRDefault="006A2B08" w:rsidP="006A2B08">
      <w:pPr>
        <w:pBdr>
          <w:top w:val="single" w:sz="4" w:space="1" w:color="auto"/>
          <w:left w:val="single" w:sz="4" w:space="4" w:color="auto"/>
          <w:bottom w:val="single" w:sz="4" w:space="1" w:color="auto"/>
          <w:right w:val="single" w:sz="4" w:space="4" w:color="auto"/>
        </w:pBdr>
        <w:shd w:val="clear" w:color="auto" w:fill="F2F2F2" w:themeFill="background1" w:themeFillShade="F2"/>
        <w:ind w:left="360"/>
        <w:rPr>
          <w:rFonts w:ascii="Times New Roman" w:hAnsi="Times New Roman"/>
          <w:sz w:val="24"/>
          <w:szCs w:val="24"/>
        </w:rPr>
      </w:pPr>
      <w:r w:rsidRPr="006A2B08">
        <w:rPr>
          <w:rFonts w:ascii="Times New Roman" w:hAnsi="Times New Roman"/>
          <w:sz w:val="24"/>
          <w:szCs w:val="24"/>
        </w:rPr>
        <w:t>Inputs</w:t>
      </w:r>
      <w:r w:rsidR="005C5FF6">
        <w:rPr>
          <w:rFonts w:ascii="Times New Roman" w:hAnsi="Times New Roman"/>
          <w:sz w:val="24"/>
          <w:szCs w:val="24"/>
        </w:rPr>
        <w:t xml:space="preserve"> may include:</w:t>
      </w:r>
    </w:p>
    <w:p w:rsidR="006A2B08" w:rsidRDefault="006F3304" w:rsidP="006A2B08">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sz w:val="24"/>
          <w:szCs w:val="24"/>
        </w:rPr>
      </w:pPr>
      <w:r>
        <w:rPr>
          <w:rFonts w:ascii="Times New Roman" w:hAnsi="Times New Roman"/>
          <w:sz w:val="24"/>
          <w:szCs w:val="24"/>
        </w:rPr>
        <w:t>A technical review of</w:t>
      </w:r>
      <w:r w:rsidR="006A2B08" w:rsidRPr="006A2B08">
        <w:rPr>
          <w:rFonts w:ascii="Times New Roman" w:hAnsi="Times New Roman"/>
          <w:sz w:val="24"/>
          <w:szCs w:val="24"/>
        </w:rPr>
        <w:t xml:space="preserve"> current </w:t>
      </w:r>
      <w:r w:rsidR="005C5FF6">
        <w:rPr>
          <w:rFonts w:ascii="Times New Roman" w:hAnsi="Times New Roman"/>
          <w:sz w:val="24"/>
          <w:szCs w:val="24"/>
        </w:rPr>
        <w:t>emission control technology</w:t>
      </w:r>
      <w:r w:rsidR="006A2B08" w:rsidRPr="006A2B08">
        <w:rPr>
          <w:rFonts w:ascii="Times New Roman" w:hAnsi="Times New Roman"/>
          <w:sz w:val="24"/>
          <w:szCs w:val="24"/>
        </w:rPr>
        <w:t>.</w:t>
      </w:r>
    </w:p>
    <w:p w:rsidR="005C5FF6" w:rsidRPr="006A2B08" w:rsidRDefault="005C5FF6" w:rsidP="006A2B08">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sz w:val="24"/>
          <w:szCs w:val="24"/>
        </w:rPr>
      </w:pPr>
      <w:r>
        <w:rPr>
          <w:rFonts w:ascii="Times New Roman" w:hAnsi="Times New Roman"/>
          <w:sz w:val="24"/>
          <w:szCs w:val="24"/>
        </w:rPr>
        <w:t>P</w:t>
      </w:r>
      <w:r w:rsidRPr="006A2B08">
        <w:rPr>
          <w:rFonts w:ascii="Times New Roman" w:hAnsi="Times New Roman"/>
          <w:sz w:val="24"/>
          <w:szCs w:val="24"/>
        </w:rPr>
        <w:t>otential implications and emissions management issues for the Framework, created by the implementation of Canada’s</w:t>
      </w:r>
      <w:r w:rsidRPr="002307E9">
        <w:rPr>
          <w:rFonts w:ascii="Times New Roman" w:hAnsi="Times New Roman"/>
          <w:sz w:val="24"/>
          <w:szCs w:val="24"/>
        </w:rPr>
        <w:t xml:space="preserve"> GHG</w:t>
      </w:r>
      <w:r>
        <w:rPr>
          <w:rFonts w:ascii="Times New Roman" w:hAnsi="Times New Roman"/>
          <w:sz w:val="24"/>
          <w:szCs w:val="24"/>
        </w:rPr>
        <w:t xml:space="preserve"> Regulations.</w:t>
      </w:r>
    </w:p>
    <w:p w:rsidR="00282AEE" w:rsidRDefault="00282AEE" w:rsidP="00A2169D">
      <w:pPr>
        <w:pStyle w:val="ListParagraph"/>
        <w:ind w:left="360"/>
        <w:rPr>
          <w:rFonts w:ascii="Times New Roman" w:hAnsi="Times New Roman"/>
          <w:sz w:val="24"/>
          <w:szCs w:val="24"/>
        </w:rPr>
      </w:pPr>
    </w:p>
    <w:p w:rsidR="006A2B08" w:rsidRPr="006A2B08" w:rsidRDefault="006A2B08" w:rsidP="006A2B08">
      <w:pPr>
        <w:pStyle w:val="ListParagraph"/>
        <w:numPr>
          <w:ilvl w:val="0"/>
          <w:numId w:val="9"/>
        </w:numPr>
        <w:rPr>
          <w:rFonts w:ascii="Times New Roman" w:hAnsi="Times New Roman"/>
          <w:sz w:val="24"/>
          <w:szCs w:val="24"/>
        </w:rPr>
      </w:pPr>
      <w:r w:rsidRPr="006A2B08">
        <w:rPr>
          <w:rFonts w:ascii="Times New Roman" w:hAnsi="Times New Roman"/>
          <w:sz w:val="24"/>
          <w:szCs w:val="24"/>
        </w:rPr>
        <w:t xml:space="preserve">Determine emission standards for new reciprocating engines </w:t>
      </w:r>
      <w:r w:rsidR="00091255">
        <w:rPr>
          <w:rFonts w:ascii="Times New Roman" w:hAnsi="Times New Roman"/>
          <w:sz w:val="24"/>
          <w:szCs w:val="24"/>
        </w:rPr>
        <w:t xml:space="preserve">and diesel engines </w:t>
      </w:r>
      <w:r w:rsidRPr="006A2B08">
        <w:rPr>
          <w:rFonts w:ascii="Times New Roman" w:hAnsi="Times New Roman"/>
          <w:sz w:val="24"/>
          <w:szCs w:val="24"/>
        </w:rPr>
        <w:t xml:space="preserve">for electrical generation, based on the Best Available Technology Economically Achievable (BATEA), with consideration </w:t>
      </w:r>
      <w:r w:rsidR="00935B13">
        <w:rPr>
          <w:rFonts w:ascii="Times New Roman" w:hAnsi="Times New Roman"/>
          <w:sz w:val="24"/>
          <w:szCs w:val="24"/>
        </w:rPr>
        <w:t>for</w:t>
      </w:r>
      <w:r w:rsidRPr="006A2B08">
        <w:rPr>
          <w:rFonts w:ascii="Times New Roman" w:hAnsi="Times New Roman"/>
          <w:sz w:val="24"/>
          <w:szCs w:val="24"/>
        </w:rPr>
        <w:t xml:space="preserve"> any related work of the </w:t>
      </w:r>
      <w:r w:rsidR="004C58C5">
        <w:rPr>
          <w:rFonts w:ascii="Times New Roman" w:hAnsi="Times New Roman"/>
          <w:sz w:val="24"/>
          <w:szCs w:val="24"/>
        </w:rPr>
        <w:t xml:space="preserve">reciprocating engine </w:t>
      </w:r>
      <w:r w:rsidRPr="006A2B08">
        <w:rPr>
          <w:rFonts w:ascii="Times New Roman" w:hAnsi="Times New Roman"/>
          <w:sz w:val="24"/>
          <w:szCs w:val="24"/>
        </w:rPr>
        <w:t>BLIERs group.</w:t>
      </w:r>
    </w:p>
    <w:p w:rsidR="006A2B08" w:rsidRPr="006A2B08" w:rsidRDefault="006A2B08" w:rsidP="006A2B08">
      <w:pPr>
        <w:pStyle w:val="ListParagraph"/>
        <w:rPr>
          <w:rFonts w:ascii="Times New Roman" w:hAnsi="Times New Roman"/>
          <w:sz w:val="24"/>
          <w:szCs w:val="24"/>
        </w:rPr>
      </w:pPr>
    </w:p>
    <w:p w:rsidR="00AC6E40" w:rsidRPr="00055A18" w:rsidRDefault="00AC6E40" w:rsidP="00AC6E40">
      <w:pPr>
        <w:numPr>
          <w:ilvl w:val="0"/>
          <w:numId w:val="9"/>
        </w:numPr>
        <w:rPr>
          <w:rFonts w:ascii="Times New Roman" w:hAnsi="Times New Roman"/>
          <w:sz w:val="24"/>
          <w:szCs w:val="24"/>
        </w:rPr>
      </w:pPr>
      <w:r w:rsidRPr="00055A18">
        <w:rPr>
          <w:rFonts w:ascii="Times New Roman" w:hAnsi="Times New Roman"/>
          <w:sz w:val="24"/>
          <w:szCs w:val="24"/>
        </w:rPr>
        <w:t>If available, review the proposed BLIERs for the electricity sector and consider if/how they will impact the Framework (</w:t>
      </w:r>
      <w:r w:rsidR="00E3330C">
        <w:rPr>
          <w:rFonts w:ascii="Times New Roman" w:hAnsi="Times New Roman"/>
          <w:sz w:val="24"/>
          <w:szCs w:val="24"/>
        </w:rPr>
        <w:t>i.e.</w:t>
      </w:r>
      <w:r w:rsidRPr="00055A18">
        <w:rPr>
          <w:rFonts w:ascii="Times New Roman" w:hAnsi="Times New Roman"/>
          <w:sz w:val="24"/>
          <w:szCs w:val="24"/>
        </w:rPr>
        <w:t xml:space="preserve"> new reciprocating engines, new gas turbines, new non-utility heaters and boilers, and new coal-fired units).</w:t>
      </w:r>
    </w:p>
    <w:p w:rsidR="00055A18" w:rsidRDefault="00055A18">
      <w:pPr>
        <w:spacing w:after="200" w:line="276" w:lineRule="auto"/>
        <w:rPr>
          <w:rFonts w:ascii="Times New Roman" w:hAnsi="Times New Roman"/>
          <w:sz w:val="24"/>
          <w:szCs w:val="24"/>
        </w:rPr>
      </w:pPr>
      <w:r>
        <w:rPr>
          <w:rFonts w:ascii="Times New Roman" w:hAnsi="Times New Roman"/>
          <w:sz w:val="24"/>
          <w:szCs w:val="24"/>
        </w:rPr>
        <w:br w:type="page"/>
      </w:r>
    </w:p>
    <w:p w:rsidR="006A2B08" w:rsidRPr="006A2B08" w:rsidRDefault="006A2B08" w:rsidP="006A2B08">
      <w:pPr>
        <w:pStyle w:val="ListParagraph"/>
        <w:numPr>
          <w:ilvl w:val="0"/>
          <w:numId w:val="9"/>
        </w:numPr>
        <w:rPr>
          <w:rFonts w:ascii="Times New Roman" w:hAnsi="Times New Roman"/>
          <w:sz w:val="24"/>
          <w:szCs w:val="24"/>
        </w:rPr>
      </w:pPr>
      <w:r w:rsidRPr="006A2B08">
        <w:rPr>
          <w:rFonts w:ascii="Times New Roman" w:hAnsi="Times New Roman"/>
          <w:sz w:val="24"/>
          <w:szCs w:val="24"/>
        </w:rPr>
        <w:lastRenderedPageBreak/>
        <w:t xml:space="preserve">Review the </w:t>
      </w:r>
      <w:r w:rsidR="0013557C">
        <w:rPr>
          <w:rFonts w:ascii="Times New Roman" w:hAnsi="Times New Roman"/>
          <w:sz w:val="24"/>
          <w:szCs w:val="24"/>
        </w:rPr>
        <w:t>electricity</w:t>
      </w:r>
      <w:r w:rsidR="0013557C" w:rsidRPr="006A2B08">
        <w:rPr>
          <w:rFonts w:ascii="Times New Roman" w:hAnsi="Times New Roman"/>
          <w:sz w:val="24"/>
          <w:szCs w:val="24"/>
        </w:rPr>
        <w:t xml:space="preserve"> </w:t>
      </w:r>
      <w:r w:rsidRPr="006A2B08">
        <w:rPr>
          <w:rFonts w:ascii="Times New Roman" w:hAnsi="Times New Roman"/>
          <w:sz w:val="24"/>
          <w:szCs w:val="24"/>
        </w:rPr>
        <w:t xml:space="preserve">sector </w:t>
      </w:r>
      <w:r w:rsidR="0013557C">
        <w:rPr>
          <w:rFonts w:ascii="Times New Roman" w:hAnsi="Times New Roman"/>
          <w:sz w:val="24"/>
          <w:szCs w:val="24"/>
        </w:rPr>
        <w:t>C</w:t>
      </w:r>
      <w:r w:rsidRPr="006A2B08">
        <w:rPr>
          <w:rFonts w:ascii="Times New Roman" w:hAnsi="Times New Roman"/>
          <w:sz w:val="24"/>
          <w:szCs w:val="24"/>
        </w:rPr>
        <w:t xml:space="preserve">ontinuous </w:t>
      </w:r>
      <w:r w:rsidR="0013557C">
        <w:rPr>
          <w:rFonts w:ascii="Times New Roman" w:hAnsi="Times New Roman"/>
          <w:sz w:val="24"/>
          <w:szCs w:val="24"/>
        </w:rPr>
        <w:t>I</w:t>
      </w:r>
      <w:r w:rsidRPr="006A2B08">
        <w:rPr>
          <w:rFonts w:ascii="Times New Roman" w:hAnsi="Times New Roman"/>
          <w:sz w:val="24"/>
          <w:szCs w:val="24"/>
        </w:rPr>
        <w:t xml:space="preserve">mprovement </w:t>
      </w:r>
      <w:r w:rsidR="0013557C">
        <w:rPr>
          <w:rFonts w:ascii="Times New Roman" w:hAnsi="Times New Roman"/>
          <w:sz w:val="24"/>
          <w:szCs w:val="24"/>
        </w:rPr>
        <w:t>R</w:t>
      </w:r>
      <w:r w:rsidRPr="006A2B08">
        <w:rPr>
          <w:rFonts w:ascii="Times New Roman" w:hAnsi="Times New Roman"/>
          <w:sz w:val="24"/>
          <w:szCs w:val="24"/>
        </w:rPr>
        <w:t>eport relative to the previous continuous improvement goal statements and propose, where appropriate, recommendations for modifications to the framework that result in improved opportunities for supporting continuous improvement efforts.</w:t>
      </w:r>
    </w:p>
    <w:p w:rsidR="006A2B08" w:rsidRPr="006A2B08" w:rsidRDefault="006A2B08" w:rsidP="006A2B08">
      <w:pPr>
        <w:pStyle w:val="ListParagraph"/>
        <w:ind w:left="360"/>
        <w:rPr>
          <w:rFonts w:ascii="Times New Roman" w:hAnsi="Times New Roman"/>
          <w:sz w:val="24"/>
          <w:szCs w:val="24"/>
        </w:rPr>
      </w:pPr>
    </w:p>
    <w:p w:rsidR="006A2B08" w:rsidRPr="006A2B08" w:rsidRDefault="006A2B08" w:rsidP="006A2B08">
      <w:pPr>
        <w:pBdr>
          <w:top w:val="single" w:sz="4" w:space="1" w:color="auto"/>
          <w:left w:val="single" w:sz="4" w:space="4" w:color="auto"/>
          <w:bottom w:val="single" w:sz="4" w:space="1" w:color="auto"/>
          <w:right w:val="single" w:sz="4" w:space="4" w:color="auto"/>
        </w:pBdr>
        <w:shd w:val="clear" w:color="auto" w:fill="F2F2F2" w:themeFill="background1" w:themeFillShade="F2"/>
        <w:ind w:left="360"/>
        <w:rPr>
          <w:rFonts w:ascii="Times New Roman" w:hAnsi="Times New Roman"/>
          <w:sz w:val="24"/>
          <w:szCs w:val="24"/>
        </w:rPr>
      </w:pPr>
      <w:r w:rsidRPr="006A2B08">
        <w:rPr>
          <w:rFonts w:ascii="Times New Roman" w:hAnsi="Times New Roman"/>
          <w:sz w:val="24"/>
          <w:szCs w:val="24"/>
        </w:rPr>
        <w:t>Inputs</w:t>
      </w:r>
      <w:r w:rsidR="00031CBA">
        <w:rPr>
          <w:rFonts w:ascii="Times New Roman" w:hAnsi="Times New Roman"/>
          <w:sz w:val="24"/>
          <w:szCs w:val="24"/>
        </w:rPr>
        <w:t xml:space="preserve"> may include:</w:t>
      </w:r>
    </w:p>
    <w:p w:rsidR="006A2B08" w:rsidRPr="006A2B08" w:rsidRDefault="006A2B08" w:rsidP="006A2B08">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sz w:val="24"/>
          <w:szCs w:val="24"/>
        </w:rPr>
      </w:pPr>
      <w:r w:rsidRPr="006A2B08">
        <w:rPr>
          <w:rFonts w:ascii="Times New Roman" w:hAnsi="Times New Roman"/>
          <w:sz w:val="24"/>
          <w:szCs w:val="24"/>
        </w:rPr>
        <w:t>Industry to provide a</w:t>
      </w:r>
      <w:r w:rsidR="0013557C">
        <w:rPr>
          <w:rFonts w:ascii="Times New Roman" w:hAnsi="Times New Roman"/>
          <w:sz w:val="24"/>
          <w:szCs w:val="24"/>
        </w:rPr>
        <w:t>n</w:t>
      </w:r>
      <w:r w:rsidRPr="006A2B08">
        <w:rPr>
          <w:rFonts w:ascii="Times New Roman" w:hAnsi="Times New Roman"/>
          <w:sz w:val="24"/>
          <w:szCs w:val="24"/>
        </w:rPr>
        <w:t xml:space="preserve"> update</w:t>
      </w:r>
      <w:r w:rsidR="0013557C">
        <w:rPr>
          <w:rFonts w:ascii="Times New Roman" w:hAnsi="Times New Roman"/>
          <w:sz w:val="24"/>
          <w:szCs w:val="24"/>
        </w:rPr>
        <w:t xml:space="preserve"> to the</w:t>
      </w:r>
      <w:r w:rsidRPr="006A2B08">
        <w:rPr>
          <w:rFonts w:ascii="Times New Roman" w:hAnsi="Times New Roman"/>
          <w:sz w:val="24"/>
          <w:szCs w:val="24"/>
        </w:rPr>
        <w:t xml:space="preserve"> </w:t>
      </w:r>
      <w:r w:rsidR="00E3330C">
        <w:rPr>
          <w:rFonts w:ascii="Times New Roman" w:hAnsi="Times New Roman"/>
          <w:sz w:val="24"/>
          <w:szCs w:val="24"/>
        </w:rPr>
        <w:t xml:space="preserve">2009 </w:t>
      </w:r>
      <w:r w:rsidRPr="006A2B08">
        <w:rPr>
          <w:rFonts w:ascii="Times New Roman" w:hAnsi="Times New Roman"/>
          <w:sz w:val="24"/>
          <w:szCs w:val="24"/>
        </w:rPr>
        <w:t>Continuous Improvement Report.</w:t>
      </w:r>
    </w:p>
    <w:p w:rsidR="006A2B08" w:rsidRPr="006A2B08" w:rsidRDefault="006A2B08" w:rsidP="006A2B08">
      <w:pPr>
        <w:rPr>
          <w:rFonts w:ascii="Times New Roman" w:hAnsi="Times New Roman"/>
          <w:b/>
          <w:sz w:val="24"/>
          <w:szCs w:val="24"/>
        </w:rPr>
      </w:pPr>
    </w:p>
    <w:p w:rsidR="006A2B08" w:rsidRPr="00FF6894" w:rsidRDefault="006A2B08" w:rsidP="006A2B08">
      <w:pPr>
        <w:rPr>
          <w:rFonts w:ascii="Times New Roman" w:hAnsi="Times New Roman"/>
          <w:sz w:val="24"/>
          <w:szCs w:val="24"/>
        </w:rPr>
      </w:pPr>
      <w:r w:rsidRPr="00FF6894">
        <w:rPr>
          <w:rFonts w:ascii="Times New Roman" w:hAnsi="Times New Roman"/>
          <w:sz w:val="24"/>
          <w:szCs w:val="24"/>
        </w:rPr>
        <w:t>Substance Review</w:t>
      </w:r>
    </w:p>
    <w:p w:rsidR="006A2B08" w:rsidRPr="00CB1789" w:rsidRDefault="006A2B08" w:rsidP="006A2B08">
      <w:pPr>
        <w:pStyle w:val="ListParagraph"/>
        <w:numPr>
          <w:ilvl w:val="0"/>
          <w:numId w:val="9"/>
        </w:numPr>
        <w:rPr>
          <w:rFonts w:ascii="Times New Roman" w:hAnsi="Times New Roman"/>
          <w:sz w:val="24"/>
          <w:szCs w:val="24"/>
        </w:rPr>
      </w:pPr>
      <w:r w:rsidRPr="00CB1789">
        <w:rPr>
          <w:rFonts w:ascii="Times New Roman" w:hAnsi="Times New Roman"/>
          <w:sz w:val="24"/>
          <w:szCs w:val="24"/>
        </w:rPr>
        <w:t>Review air emission substances emitted by the electricity sector that are subject to formal control, including existing List 2 substances and possible new substances.  Identify if further action is required.</w:t>
      </w:r>
    </w:p>
    <w:p w:rsidR="006A2B08" w:rsidRPr="006A2B08" w:rsidRDefault="006A2B08" w:rsidP="006A2B08">
      <w:pPr>
        <w:pStyle w:val="ListParagraph"/>
        <w:ind w:left="360"/>
        <w:rPr>
          <w:rFonts w:ascii="Times New Roman" w:hAnsi="Times New Roman"/>
          <w:sz w:val="24"/>
          <w:szCs w:val="24"/>
        </w:rPr>
      </w:pPr>
    </w:p>
    <w:p w:rsidR="006A2B08" w:rsidRPr="006A2B08" w:rsidRDefault="00200C93" w:rsidP="006A2B08">
      <w:pPr>
        <w:pStyle w:val="ListParagraph"/>
        <w:ind w:left="360"/>
        <w:rPr>
          <w:rFonts w:ascii="Times New Roman" w:hAnsi="Times New Roman"/>
          <w:sz w:val="24"/>
          <w:szCs w:val="24"/>
        </w:rPr>
      </w:pPr>
      <w:r w:rsidRPr="00200C93">
        <w:rPr>
          <w:rFonts w:ascii="Times New Roman" w:hAnsi="Times New Roman"/>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17.25pt;margin-top:2.75pt;width:451.5pt;height:73.1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" fillcolor="#f2f2f2 [3052]">
            <v:textbox>
              <w:txbxContent>
                <w:p w:rsidR="007E32E5" w:rsidRPr="00710096" w:rsidRDefault="007E32E5" w:rsidP="006A2B08">
                  <w:pPr>
                    <w:keepLines/>
                    <w:rPr>
                      <w:rFonts w:ascii="Times New Roman" w:hAnsi="Times New Roman"/>
                    </w:rPr>
                  </w:pPr>
                  <w:r w:rsidRPr="00710096">
                    <w:rPr>
                      <w:rFonts w:ascii="Times New Roman" w:hAnsi="Times New Roman"/>
                    </w:rPr>
                    <w:t>Key Tasks</w:t>
                  </w:r>
                  <w:r>
                    <w:rPr>
                      <w:rFonts w:ascii="Times New Roman" w:hAnsi="Times New Roman"/>
                    </w:rPr>
                    <w:t xml:space="preserve"> may include:</w:t>
                  </w:r>
                </w:p>
                <w:p w:rsidR="007E32E5" w:rsidRDefault="007E32E5" w:rsidP="006A2B08">
                  <w:pPr>
                    <w:pStyle w:val="ListParagraph"/>
                    <w:keepLines/>
                    <w:numPr>
                      <w:ilvl w:val="0"/>
                      <w:numId w:val="11"/>
                    </w:numPr>
                    <w:rPr>
                      <w:rFonts w:ascii="Times New Roman" w:hAnsi="Times New Roman"/>
                    </w:rPr>
                  </w:pPr>
                  <w:r>
                    <w:rPr>
                      <w:rFonts w:ascii="Times New Roman" w:hAnsi="Times New Roman"/>
                    </w:rPr>
                    <w:t>Review new/emerging information related to:</w:t>
                  </w:r>
                </w:p>
                <w:p w:rsidR="007E32E5" w:rsidRDefault="007E32E5" w:rsidP="006A2B08">
                  <w:pPr>
                    <w:pStyle w:val="ListParagraph"/>
                    <w:keepLines/>
                    <w:numPr>
                      <w:ilvl w:val="1"/>
                      <w:numId w:val="11"/>
                    </w:numPr>
                    <w:rPr>
                      <w:rFonts w:ascii="Times New Roman" w:hAnsi="Times New Roman"/>
                    </w:rPr>
                  </w:pPr>
                  <w:r>
                    <w:rPr>
                      <w:rFonts w:ascii="Times New Roman" w:hAnsi="Times New Roman"/>
                    </w:rPr>
                    <w:t>Air emission substances subject to standards, limits or formal management in Alberta, including List 2 substances.</w:t>
                  </w:r>
                </w:p>
                <w:p w:rsidR="007E32E5" w:rsidRDefault="007E32E5" w:rsidP="006A2B08">
                  <w:pPr>
                    <w:pStyle w:val="ListParagraph"/>
                    <w:keepLines/>
                    <w:numPr>
                      <w:ilvl w:val="1"/>
                      <w:numId w:val="11"/>
                    </w:numPr>
                    <w:rPr>
                      <w:rFonts w:ascii="Times New Roman" w:hAnsi="Times New Roman"/>
                    </w:rPr>
                  </w:pPr>
                  <w:r w:rsidRPr="003B207C">
                    <w:rPr>
                      <w:rFonts w:ascii="Times New Roman" w:hAnsi="Times New Roman"/>
                    </w:rPr>
                    <w:t>Possible new air emission substances not yet regulated</w:t>
                  </w:r>
                  <w:r>
                    <w:rPr>
                      <w:rFonts w:ascii="Times New Roman" w:hAnsi="Times New Roman"/>
                    </w:rPr>
                    <w:t xml:space="preserve"> in Alberta</w:t>
                  </w:r>
                  <w:r w:rsidRPr="003B207C">
                    <w:rPr>
                      <w:rFonts w:ascii="Times New Roman" w:hAnsi="Times New Roman"/>
                    </w:rPr>
                    <w:t>.</w:t>
                  </w:r>
                </w:p>
                <w:p w:rsidR="007E32E5" w:rsidRDefault="007E32E5" w:rsidP="006A2B08"/>
              </w:txbxContent>
            </v:textbox>
          </v:shape>
        </w:pict>
      </w:r>
    </w:p>
    <w:p w:rsidR="006A2B08" w:rsidRPr="006A2B08" w:rsidRDefault="006A2B08" w:rsidP="006A2B08">
      <w:pPr>
        <w:pStyle w:val="ListParagraph"/>
        <w:ind w:left="360"/>
        <w:rPr>
          <w:rFonts w:ascii="Times New Roman" w:hAnsi="Times New Roman"/>
          <w:sz w:val="24"/>
          <w:szCs w:val="24"/>
        </w:rPr>
      </w:pPr>
    </w:p>
    <w:p w:rsidR="006A2B08" w:rsidRPr="006A2B08" w:rsidRDefault="006A2B08" w:rsidP="006A2B08">
      <w:pPr>
        <w:pStyle w:val="ListParagraph"/>
        <w:ind w:left="360"/>
        <w:rPr>
          <w:rFonts w:ascii="Times New Roman" w:hAnsi="Times New Roman"/>
          <w:sz w:val="24"/>
          <w:szCs w:val="24"/>
        </w:rPr>
      </w:pPr>
    </w:p>
    <w:p w:rsidR="006A2B08" w:rsidRPr="006A2B08" w:rsidRDefault="006A2B08" w:rsidP="006A2B08">
      <w:pPr>
        <w:pStyle w:val="ListParagraph"/>
        <w:ind w:left="360"/>
        <w:rPr>
          <w:rFonts w:ascii="Times New Roman" w:hAnsi="Times New Roman"/>
          <w:sz w:val="24"/>
          <w:szCs w:val="24"/>
        </w:rPr>
      </w:pPr>
    </w:p>
    <w:p w:rsidR="006A2B08" w:rsidRPr="006A2B08" w:rsidRDefault="006A2B08" w:rsidP="006A2B08">
      <w:pPr>
        <w:pStyle w:val="ListParagraph"/>
        <w:ind w:left="360"/>
        <w:rPr>
          <w:rFonts w:ascii="Times New Roman" w:hAnsi="Times New Roman"/>
          <w:sz w:val="24"/>
          <w:szCs w:val="24"/>
        </w:rPr>
      </w:pPr>
    </w:p>
    <w:p w:rsidR="006A2B08" w:rsidRPr="006A2B08" w:rsidRDefault="006A2B08" w:rsidP="006A2B08">
      <w:pPr>
        <w:rPr>
          <w:rFonts w:ascii="Times New Roman" w:hAnsi="Times New Roman"/>
          <w:b/>
          <w:sz w:val="24"/>
          <w:szCs w:val="24"/>
        </w:rPr>
      </w:pPr>
    </w:p>
    <w:p w:rsidR="006A2B08" w:rsidRPr="006A2B08" w:rsidRDefault="006A2B08" w:rsidP="006A2B08">
      <w:pPr>
        <w:pStyle w:val="ListParagraph"/>
        <w:ind w:left="360"/>
        <w:rPr>
          <w:rFonts w:ascii="Times New Roman" w:hAnsi="Times New Roman"/>
          <w:sz w:val="24"/>
          <w:szCs w:val="24"/>
        </w:rPr>
      </w:pPr>
    </w:p>
    <w:p w:rsidR="006A2B08" w:rsidRPr="006A2B08" w:rsidRDefault="006A2B08" w:rsidP="006A2B08">
      <w:pPr>
        <w:pStyle w:val="ListParagraph"/>
        <w:numPr>
          <w:ilvl w:val="0"/>
          <w:numId w:val="9"/>
        </w:numPr>
        <w:rPr>
          <w:rFonts w:ascii="Times New Roman" w:hAnsi="Times New Roman"/>
          <w:sz w:val="24"/>
          <w:szCs w:val="24"/>
        </w:rPr>
      </w:pPr>
      <w:r w:rsidRPr="006A2B08">
        <w:rPr>
          <w:rFonts w:ascii="Times New Roman" w:hAnsi="Times New Roman"/>
          <w:sz w:val="24"/>
          <w:szCs w:val="24"/>
        </w:rPr>
        <w:t xml:space="preserve">Form a multi-stakeholder group with appropriate representation to oversee a </w:t>
      </w:r>
      <w:r w:rsidR="00FB7293">
        <w:rPr>
          <w:rFonts w:ascii="Times New Roman" w:hAnsi="Times New Roman"/>
          <w:sz w:val="24"/>
          <w:szCs w:val="24"/>
        </w:rPr>
        <w:t>review</w:t>
      </w:r>
      <w:r w:rsidR="00FB7293" w:rsidRPr="006A2B08">
        <w:rPr>
          <w:rFonts w:ascii="Times New Roman" w:hAnsi="Times New Roman"/>
          <w:sz w:val="24"/>
          <w:szCs w:val="24"/>
        </w:rPr>
        <w:t xml:space="preserve"> </w:t>
      </w:r>
      <w:r w:rsidRPr="006A2B08">
        <w:rPr>
          <w:rFonts w:ascii="Times New Roman" w:hAnsi="Times New Roman"/>
          <w:sz w:val="24"/>
          <w:szCs w:val="24"/>
        </w:rPr>
        <w:t>to identify any new and relevant studies or research findings regarding potential environmental or health effects from air emissions from electricity generation, including an independent peer review on the results.</w:t>
      </w:r>
      <w:r w:rsidRPr="006A2B08">
        <w:rPr>
          <w:rStyle w:val="FootnoteReference"/>
          <w:rFonts w:ascii="Times New Roman" w:hAnsi="Times New Roman"/>
          <w:sz w:val="24"/>
          <w:szCs w:val="24"/>
        </w:rPr>
        <w:footnoteReference w:id="1"/>
      </w:r>
      <w:r w:rsidRPr="006A2B08">
        <w:rPr>
          <w:rFonts w:ascii="Times New Roman" w:hAnsi="Times New Roman"/>
          <w:sz w:val="24"/>
          <w:szCs w:val="24"/>
        </w:rPr>
        <w:t xml:space="preserve"> </w:t>
      </w:r>
    </w:p>
    <w:p w:rsidR="006A2B08" w:rsidRPr="006A2B08" w:rsidRDefault="006A2B08" w:rsidP="006A2B08">
      <w:pPr>
        <w:rPr>
          <w:rFonts w:ascii="Times New Roman" w:hAnsi="Times New Roman"/>
          <w:sz w:val="24"/>
          <w:szCs w:val="24"/>
        </w:rPr>
      </w:pPr>
    </w:p>
    <w:p w:rsidR="006A2B08" w:rsidRPr="006A2B08" w:rsidRDefault="006A2B08" w:rsidP="006A2B08">
      <w:pPr>
        <w:pBdr>
          <w:top w:val="single" w:sz="4" w:space="1" w:color="auto"/>
          <w:left w:val="single" w:sz="4" w:space="4" w:color="auto"/>
          <w:bottom w:val="single" w:sz="4" w:space="1" w:color="auto"/>
          <w:right w:val="single" w:sz="4" w:space="4" w:color="auto"/>
        </w:pBdr>
        <w:shd w:val="clear" w:color="auto" w:fill="F2F2F2" w:themeFill="background1" w:themeFillShade="F2"/>
        <w:ind w:left="360"/>
        <w:rPr>
          <w:rFonts w:ascii="Times New Roman" w:hAnsi="Times New Roman"/>
          <w:sz w:val="24"/>
          <w:szCs w:val="24"/>
        </w:rPr>
      </w:pPr>
      <w:r w:rsidRPr="006A2B08">
        <w:rPr>
          <w:rFonts w:ascii="Times New Roman" w:hAnsi="Times New Roman"/>
          <w:sz w:val="24"/>
          <w:szCs w:val="24"/>
        </w:rPr>
        <w:t>Inputs</w:t>
      </w:r>
      <w:r w:rsidR="005D0310">
        <w:rPr>
          <w:rFonts w:ascii="Times New Roman" w:hAnsi="Times New Roman"/>
          <w:sz w:val="24"/>
          <w:szCs w:val="24"/>
        </w:rPr>
        <w:t xml:space="preserve"> may include:</w:t>
      </w:r>
    </w:p>
    <w:p w:rsidR="006A2B08" w:rsidRPr="006A2B08" w:rsidRDefault="006A2B08" w:rsidP="006A2B08">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sz w:val="24"/>
          <w:szCs w:val="24"/>
        </w:rPr>
      </w:pPr>
      <w:r w:rsidRPr="006A2B08">
        <w:rPr>
          <w:rFonts w:ascii="Times New Roman" w:hAnsi="Times New Roman"/>
          <w:sz w:val="24"/>
          <w:szCs w:val="24"/>
        </w:rPr>
        <w:t>United States Environmental Protection Agency National Air Toxics Assessments.</w:t>
      </w:r>
    </w:p>
    <w:p w:rsidR="006A2B08" w:rsidRPr="006A2B08" w:rsidRDefault="006A2B08" w:rsidP="006A2B08">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sz w:val="24"/>
          <w:szCs w:val="24"/>
        </w:rPr>
      </w:pPr>
      <w:r w:rsidRPr="006A2B08">
        <w:rPr>
          <w:rFonts w:ascii="Times New Roman" w:hAnsi="Times New Roman"/>
          <w:sz w:val="24"/>
          <w:szCs w:val="24"/>
        </w:rPr>
        <w:t>United States Environmental Protection Agency Mercury and Air Toxics Standards for Power Plants.</w:t>
      </w:r>
    </w:p>
    <w:p w:rsidR="004541A0" w:rsidRDefault="004541A0" w:rsidP="00060087">
      <w:pPr>
        <w:spacing w:after="200" w:line="276" w:lineRule="auto"/>
        <w:rPr>
          <w:rFonts w:ascii="Times New Roman" w:hAnsi="Times New Roman"/>
          <w:b/>
          <w:sz w:val="24"/>
          <w:szCs w:val="24"/>
        </w:rPr>
      </w:pPr>
    </w:p>
    <w:p w:rsidR="006A2B08" w:rsidRPr="00FF6894" w:rsidRDefault="006A2B08" w:rsidP="00FF6894">
      <w:pPr>
        <w:rPr>
          <w:rFonts w:ascii="Times New Roman" w:hAnsi="Times New Roman"/>
          <w:sz w:val="24"/>
          <w:szCs w:val="24"/>
        </w:rPr>
      </w:pPr>
      <w:r w:rsidRPr="00FF6894">
        <w:rPr>
          <w:rFonts w:ascii="Times New Roman" w:hAnsi="Times New Roman"/>
          <w:sz w:val="24"/>
          <w:szCs w:val="24"/>
        </w:rPr>
        <w:t>PM Management System</w:t>
      </w:r>
    </w:p>
    <w:p w:rsidR="006A2B08" w:rsidRPr="006A2B08" w:rsidRDefault="006A2B08" w:rsidP="006A2B08">
      <w:pPr>
        <w:pStyle w:val="ListParagraph"/>
        <w:numPr>
          <w:ilvl w:val="0"/>
          <w:numId w:val="9"/>
        </w:numPr>
        <w:rPr>
          <w:rFonts w:ascii="Times New Roman" w:hAnsi="Times New Roman"/>
          <w:sz w:val="24"/>
          <w:szCs w:val="24"/>
        </w:rPr>
      </w:pPr>
      <w:r w:rsidRPr="006A2B08">
        <w:rPr>
          <w:rFonts w:ascii="Times New Roman" w:hAnsi="Times New Roman"/>
          <w:sz w:val="24"/>
          <w:szCs w:val="24"/>
        </w:rPr>
        <w:t>Develop a PM Management system for existing units.</w:t>
      </w:r>
      <w:r w:rsidRPr="006A2B08">
        <w:rPr>
          <w:rStyle w:val="FootnoteReference"/>
          <w:rFonts w:ascii="Times New Roman" w:hAnsi="Times New Roman"/>
          <w:sz w:val="24"/>
          <w:szCs w:val="24"/>
        </w:rPr>
        <w:footnoteReference w:id="2"/>
      </w:r>
    </w:p>
    <w:p w:rsidR="006A2B08" w:rsidRPr="006A2B08" w:rsidRDefault="006A2B08" w:rsidP="006A2B08">
      <w:pPr>
        <w:rPr>
          <w:rFonts w:ascii="Times New Roman" w:hAnsi="Times New Roman"/>
          <w:sz w:val="24"/>
          <w:szCs w:val="24"/>
        </w:rPr>
      </w:pPr>
    </w:p>
    <w:p w:rsidR="006A2B08" w:rsidRPr="006A2B08" w:rsidRDefault="006A2B08" w:rsidP="006A2B08">
      <w:pPr>
        <w:pBdr>
          <w:top w:val="single" w:sz="4" w:space="1" w:color="auto"/>
          <w:left w:val="single" w:sz="4" w:space="4" w:color="auto"/>
          <w:bottom w:val="single" w:sz="4" w:space="1" w:color="auto"/>
          <w:right w:val="single" w:sz="4" w:space="4" w:color="auto"/>
        </w:pBdr>
        <w:shd w:val="clear" w:color="auto" w:fill="F2F2F2" w:themeFill="background1" w:themeFillShade="F2"/>
        <w:ind w:left="360"/>
        <w:rPr>
          <w:rFonts w:ascii="Times New Roman" w:hAnsi="Times New Roman"/>
          <w:sz w:val="24"/>
          <w:szCs w:val="24"/>
        </w:rPr>
      </w:pPr>
      <w:r w:rsidRPr="006A2B08">
        <w:rPr>
          <w:rFonts w:ascii="Times New Roman" w:hAnsi="Times New Roman"/>
          <w:sz w:val="24"/>
          <w:szCs w:val="24"/>
        </w:rPr>
        <w:t xml:space="preserve">Inputs </w:t>
      </w:r>
      <w:r w:rsidR="00706ECE">
        <w:rPr>
          <w:rFonts w:ascii="Times New Roman" w:hAnsi="Times New Roman"/>
          <w:sz w:val="24"/>
          <w:szCs w:val="24"/>
        </w:rPr>
        <w:t>may include:</w:t>
      </w:r>
    </w:p>
    <w:p w:rsidR="006A2B08" w:rsidRPr="006A2B08" w:rsidRDefault="006A2B08" w:rsidP="006A2B08">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sz w:val="24"/>
          <w:szCs w:val="24"/>
        </w:rPr>
      </w:pPr>
      <w:r w:rsidRPr="006A2B08">
        <w:rPr>
          <w:rFonts w:ascii="Times New Roman" w:hAnsi="Times New Roman"/>
          <w:i/>
          <w:sz w:val="24"/>
          <w:szCs w:val="24"/>
        </w:rPr>
        <w:t>Evaluation of Existing Particulate Matter Management in Alberta</w:t>
      </w:r>
      <w:r w:rsidRPr="006A2B08">
        <w:rPr>
          <w:rFonts w:ascii="Times New Roman" w:hAnsi="Times New Roman"/>
          <w:sz w:val="24"/>
          <w:szCs w:val="24"/>
        </w:rPr>
        <w:t>. September 2010. Prepared by Eastern Research Group for CASA.</w:t>
      </w:r>
    </w:p>
    <w:p w:rsidR="006A2B08" w:rsidRPr="006A2B08" w:rsidRDefault="006A2B08" w:rsidP="006A2B08">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sz w:val="24"/>
          <w:szCs w:val="24"/>
        </w:rPr>
      </w:pPr>
      <w:r w:rsidRPr="006A2B08">
        <w:rPr>
          <w:rFonts w:ascii="Times New Roman" w:hAnsi="Times New Roman"/>
          <w:sz w:val="24"/>
          <w:szCs w:val="24"/>
        </w:rPr>
        <w:t>Minutes of CASA PM Management System Task Group, July 2010 to February 2011, including discussions on a straw-dog PM Management Plan.</w:t>
      </w:r>
    </w:p>
    <w:p w:rsidR="008736E8" w:rsidRDefault="008736E8" w:rsidP="006A2B08">
      <w:pPr>
        <w:rPr>
          <w:rFonts w:ascii="Times New Roman" w:hAnsi="Times New Roman"/>
          <w:sz w:val="24"/>
          <w:szCs w:val="24"/>
        </w:rPr>
      </w:pPr>
    </w:p>
    <w:p w:rsidR="00055A18" w:rsidRDefault="00055A18">
      <w:pPr>
        <w:spacing w:after="200" w:line="276" w:lineRule="auto"/>
        <w:rPr>
          <w:rFonts w:ascii="Times New Roman" w:hAnsi="Times New Roman"/>
          <w:sz w:val="24"/>
          <w:szCs w:val="24"/>
        </w:rPr>
      </w:pPr>
      <w:r>
        <w:rPr>
          <w:rFonts w:ascii="Times New Roman" w:hAnsi="Times New Roman"/>
          <w:sz w:val="24"/>
          <w:szCs w:val="24"/>
        </w:rPr>
        <w:br w:type="page"/>
      </w:r>
    </w:p>
    <w:p w:rsidR="006A2B08" w:rsidRPr="00FF6894" w:rsidRDefault="006A2B08" w:rsidP="006A2B08">
      <w:pPr>
        <w:rPr>
          <w:rFonts w:ascii="Times New Roman" w:hAnsi="Times New Roman"/>
          <w:sz w:val="24"/>
          <w:szCs w:val="24"/>
        </w:rPr>
      </w:pPr>
      <w:r w:rsidRPr="00FF6894">
        <w:rPr>
          <w:rFonts w:ascii="Times New Roman" w:hAnsi="Times New Roman"/>
          <w:sz w:val="24"/>
          <w:szCs w:val="24"/>
        </w:rPr>
        <w:lastRenderedPageBreak/>
        <w:t>Emissions Trading System</w:t>
      </w:r>
    </w:p>
    <w:p w:rsidR="0072361C" w:rsidRDefault="004541A0" w:rsidP="0072361C">
      <w:pPr>
        <w:pStyle w:val="ListParagraph"/>
        <w:numPr>
          <w:ilvl w:val="0"/>
          <w:numId w:val="9"/>
        </w:numPr>
        <w:rPr>
          <w:rFonts w:ascii="Times New Roman" w:hAnsi="Times New Roman"/>
          <w:sz w:val="24"/>
          <w:szCs w:val="24"/>
        </w:rPr>
      </w:pPr>
      <w:r w:rsidRPr="006A2B08">
        <w:rPr>
          <w:rFonts w:ascii="Times New Roman" w:hAnsi="Times New Roman"/>
          <w:sz w:val="24"/>
          <w:szCs w:val="24"/>
        </w:rPr>
        <w:t>Complete an assessment of the implementation</w:t>
      </w:r>
      <w:r>
        <w:rPr>
          <w:rFonts w:ascii="Times New Roman" w:hAnsi="Times New Roman"/>
          <w:sz w:val="24"/>
          <w:szCs w:val="24"/>
        </w:rPr>
        <w:t xml:space="preserve"> of</w:t>
      </w:r>
      <w:r w:rsidR="0072361C">
        <w:rPr>
          <w:rFonts w:ascii="Times New Roman" w:hAnsi="Times New Roman"/>
          <w:sz w:val="24"/>
          <w:szCs w:val="24"/>
        </w:rPr>
        <w:t xml:space="preserve"> </w:t>
      </w:r>
      <w:r w:rsidRPr="0072361C">
        <w:rPr>
          <w:rFonts w:ascii="Times New Roman" w:hAnsi="Times New Roman"/>
          <w:sz w:val="24"/>
          <w:szCs w:val="24"/>
        </w:rPr>
        <w:t>Recommendation 8</w:t>
      </w:r>
      <w:r w:rsidR="0072361C">
        <w:rPr>
          <w:rFonts w:ascii="Times New Roman" w:hAnsi="Times New Roman"/>
          <w:sz w:val="24"/>
          <w:szCs w:val="24"/>
        </w:rPr>
        <w:t xml:space="preserve">, regarding the </w:t>
      </w:r>
      <w:r w:rsidRPr="0072361C">
        <w:rPr>
          <w:rFonts w:ascii="Times New Roman" w:hAnsi="Times New Roman"/>
          <w:sz w:val="24"/>
          <w:szCs w:val="24"/>
        </w:rPr>
        <w:t>NO</w:t>
      </w:r>
      <w:r w:rsidRPr="0072361C">
        <w:rPr>
          <w:rFonts w:ascii="Times New Roman" w:hAnsi="Times New Roman"/>
          <w:sz w:val="24"/>
          <w:szCs w:val="24"/>
          <w:vertAlign w:val="subscript"/>
        </w:rPr>
        <w:t>X</w:t>
      </w:r>
      <w:r w:rsidRPr="0072361C">
        <w:rPr>
          <w:rFonts w:ascii="Times New Roman" w:hAnsi="Times New Roman"/>
          <w:sz w:val="24"/>
          <w:szCs w:val="24"/>
        </w:rPr>
        <w:t xml:space="preserve"> and SO</w:t>
      </w:r>
      <w:r w:rsidRPr="0072361C">
        <w:rPr>
          <w:rFonts w:ascii="Times New Roman" w:hAnsi="Times New Roman"/>
          <w:sz w:val="24"/>
          <w:szCs w:val="24"/>
          <w:vertAlign w:val="subscript"/>
        </w:rPr>
        <w:t>2</w:t>
      </w:r>
      <w:r w:rsidRPr="0072361C">
        <w:rPr>
          <w:rFonts w:ascii="Times New Roman" w:hAnsi="Times New Roman"/>
          <w:sz w:val="24"/>
          <w:szCs w:val="24"/>
        </w:rPr>
        <w:t xml:space="preserve"> emissions management approach</w:t>
      </w:r>
      <w:r w:rsidR="00E3330C">
        <w:rPr>
          <w:rStyle w:val="FootnoteReference"/>
          <w:rFonts w:ascii="Times New Roman" w:hAnsi="Times New Roman"/>
          <w:sz w:val="24"/>
          <w:szCs w:val="24"/>
        </w:rPr>
        <w:footnoteReference w:id="3"/>
      </w:r>
      <w:r w:rsidR="0072361C">
        <w:rPr>
          <w:rFonts w:ascii="Times New Roman" w:hAnsi="Times New Roman"/>
          <w:sz w:val="24"/>
          <w:szCs w:val="24"/>
        </w:rPr>
        <w:t xml:space="preserve">. </w:t>
      </w:r>
    </w:p>
    <w:p w:rsidR="00097CC3" w:rsidRPr="0072361C" w:rsidRDefault="0072361C" w:rsidP="0072361C">
      <w:pPr>
        <w:pStyle w:val="ListParagraph"/>
        <w:ind w:left="1080"/>
        <w:rPr>
          <w:rFonts w:ascii="Times New Roman" w:hAnsi="Times New Roman"/>
          <w:sz w:val="24"/>
          <w:szCs w:val="24"/>
        </w:rPr>
      </w:pPr>
      <w:r>
        <w:rPr>
          <w:rFonts w:ascii="Times New Roman" w:hAnsi="Times New Roman"/>
          <w:sz w:val="24"/>
          <w:szCs w:val="24"/>
        </w:rPr>
        <w:t>This work may</w:t>
      </w:r>
      <w:r w:rsidR="00097CC3" w:rsidRPr="0072361C">
        <w:rPr>
          <w:rFonts w:ascii="Times New Roman" w:hAnsi="Times New Roman"/>
          <w:sz w:val="24"/>
          <w:szCs w:val="24"/>
        </w:rPr>
        <w:t xml:space="preserve"> includ</w:t>
      </w:r>
      <w:r>
        <w:rPr>
          <w:rFonts w:ascii="Times New Roman" w:hAnsi="Times New Roman"/>
          <w:sz w:val="24"/>
          <w:szCs w:val="24"/>
        </w:rPr>
        <w:t>e</w:t>
      </w:r>
      <w:r w:rsidR="00097CC3" w:rsidRPr="0072361C">
        <w:rPr>
          <w:rFonts w:ascii="Times New Roman" w:hAnsi="Times New Roman"/>
          <w:sz w:val="24"/>
          <w:szCs w:val="24"/>
        </w:rPr>
        <w:t xml:space="preserve"> </w:t>
      </w:r>
      <w:r>
        <w:rPr>
          <w:rFonts w:ascii="Times New Roman" w:hAnsi="Times New Roman"/>
          <w:sz w:val="24"/>
          <w:szCs w:val="24"/>
        </w:rPr>
        <w:t>reviewing whether</w:t>
      </w:r>
      <w:r w:rsidR="00097CC3" w:rsidRPr="0072361C">
        <w:rPr>
          <w:rFonts w:ascii="Times New Roman" w:hAnsi="Times New Roman"/>
          <w:sz w:val="24"/>
          <w:szCs w:val="24"/>
        </w:rPr>
        <w:t xml:space="preserve"> the Emissions Trading System is achieving</w:t>
      </w:r>
      <w:r w:rsidR="00D8122C">
        <w:rPr>
          <w:rFonts w:ascii="Times New Roman" w:hAnsi="Times New Roman"/>
          <w:sz w:val="24"/>
          <w:szCs w:val="24"/>
        </w:rPr>
        <w:t xml:space="preserve">, and will continue to achieve, </w:t>
      </w:r>
      <w:r w:rsidR="00097CC3" w:rsidRPr="0072361C">
        <w:rPr>
          <w:rFonts w:ascii="Times New Roman" w:hAnsi="Times New Roman"/>
          <w:sz w:val="24"/>
          <w:szCs w:val="24"/>
        </w:rPr>
        <w:t>the intended objectives of providing incentives and rewards for better than required or expected performance, encouraging early shutdown of older units, and encouraging implementation of new emissions controls at existing units.</w:t>
      </w:r>
    </w:p>
    <w:p w:rsidR="00097CC3" w:rsidRDefault="00097CC3" w:rsidP="00097CC3">
      <w:pPr>
        <w:pStyle w:val="ListParagraph"/>
        <w:ind w:left="1080"/>
        <w:rPr>
          <w:rFonts w:ascii="Times New Roman" w:hAnsi="Times New Roman"/>
          <w:sz w:val="24"/>
          <w:szCs w:val="24"/>
        </w:rPr>
      </w:pPr>
    </w:p>
    <w:p w:rsidR="004541A0" w:rsidRPr="0072361C" w:rsidRDefault="0072361C" w:rsidP="0072361C">
      <w:pPr>
        <w:pStyle w:val="ListParagraph"/>
        <w:numPr>
          <w:ilvl w:val="0"/>
          <w:numId w:val="9"/>
        </w:numPr>
        <w:rPr>
          <w:rFonts w:ascii="Times New Roman" w:hAnsi="Times New Roman"/>
          <w:sz w:val="24"/>
          <w:szCs w:val="24"/>
        </w:rPr>
      </w:pPr>
      <w:r w:rsidRPr="0072361C">
        <w:rPr>
          <w:rFonts w:ascii="Times New Roman" w:hAnsi="Times New Roman"/>
          <w:sz w:val="24"/>
          <w:szCs w:val="24"/>
        </w:rPr>
        <w:t xml:space="preserve">Complete an assessment of the implementation of Recommendation </w:t>
      </w:r>
      <w:r>
        <w:rPr>
          <w:rFonts w:ascii="Times New Roman" w:hAnsi="Times New Roman"/>
          <w:sz w:val="24"/>
          <w:szCs w:val="24"/>
        </w:rPr>
        <w:t>9, regarding the i</w:t>
      </w:r>
      <w:r w:rsidR="004541A0" w:rsidRPr="0072361C">
        <w:rPr>
          <w:rFonts w:ascii="Times New Roman" w:hAnsi="Times New Roman"/>
          <w:sz w:val="24"/>
          <w:szCs w:val="24"/>
        </w:rPr>
        <w:t>mplementation of the Management Approach for NO</w:t>
      </w:r>
      <w:r w:rsidR="004541A0" w:rsidRPr="0072361C">
        <w:rPr>
          <w:rFonts w:ascii="Times New Roman" w:hAnsi="Times New Roman"/>
          <w:sz w:val="24"/>
          <w:szCs w:val="24"/>
          <w:vertAlign w:val="subscript"/>
        </w:rPr>
        <w:t>X</w:t>
      </w:r>
      <w:r w:rsidR="004541A0" w:rsidRPr="0072361C">
        <w:rPr>
          <w:rFonts w:ascii="Times New Roman" w:hAnsi="Times New Roman"/>
          <w:sz w:val="24"/>
          <w:szCs w:val="24"/>
        </w:rPr>
        <w:t xml:space="preserve"> and SO</w:t>
      </w:r>
      <w:r w:rsidR="004541A0" w:rsidRPr="0072361C">
        <w:rPr>
          <w:rFonts w:ascii="Times New Roman" w:hAnsi="Times New Roman"/>
          <w:sz w:val="24"/>
          <w:szCs w:val="24"/>
          <w:vertAlign w:val="subscript"/>
        </w:rPr>
        <w:t>2</w:t>
      </w:r>
      <w:r w:rsidR="00AE282C">
        <w:rPr>
          <w:rStyle w:val="FootnoteReference"/>
          <w:rFonts w:ascii="Times New Roman" w:hAnsi="Times New Roman"/>
          <w:sz w:val="24"/>
          <w:szCs w:val="24"/>
        </w:rPr>
        <w:footnoteReference w:id="4"/>
      </w:r>
      <w:r w:rsidRPr="0072361C">
        <w:rPr>
          <w:rFonts w:ascii="Times New Roman" w:hAnsi="Times New Roman"/>
          <w:sz w:val="24"/>
          <w:szCs w:val="24"/>
        </w:rPr>
        <w:t>.</w:t>
      </w:r>
    </w:p>
    <w:p w:rsidR="006A2B08" w:rsidRDefault="006A2B08" w:rsidP="006A2B08">
      <w:pPr>
        <w:rPr>
          <w:rFonts w:ascii="Times New Roman" w:hAnsi="Times New Roman"/>
          <w:sz w:val="24"/>
          <w:szCs w:val="24"/>
        </w:rPr>
      </w:pPr>
    </w:p>
    <w:p w:rsidR="000C6201" w:rsidRPr="000C6201" w:rsidRDefault="000C6201" w:rsidP="000C6201">
      <w:pPr>
        <w:rPr>
          <w:i/>
        </w:rPr>
      </w:pPr>
      <w:r w:rsidRPr="000C6201">
        <w:rPr>
          <w:i/>
        </w:rPr>
        <w:t>Review of Implementation of Recommendations</w:t>
      </w:r>
    </w:p>
    <w:p w:rsidR="000C6201" w:rsidRDefault="000C6201" w:rsidP="000C6201">
      <w:pPr>
        <w:pStyle w:val="ListParagraph"/>
        <w:numPr>
          <w:ilvl w:val="0"/>
          <w:numId w:val="9"/>
        </w:numPr>
        <w:rPr>
          <w:rFonts w:ascii="Times New Roman" w:hAnsi="Times New Roman"/>
        </w:rPr>
      </w:pPr>
      <w:r>
        <w:rPr>
          <w:rFonts w:ascii="Times New Roman" w:hAnsi="Times New Roman"/>
        </w:rPr>
        <w:t xml:space="preserve">Review the 2010 report on the implementation of </w:t>
      </w:r>
      <w:r w:rsidRPr="00453881">
        <w:rPr>
          <w:rFonts w:ascii="Times New Roman" w:hAnsi="Times New Roman"/>
        </w:rPr>
        <w:t>recommendations</w:t>
      </w:r>
      <w:r>
        <w:rPr>
          <w:rFonts w:ascii="Times New Roman" w:hAnsi="Times New Roman"/>
        </w:rPr>
        <w:t xml:space="preserve"> from the 2003 Framework and make updates as appropriate. </w:t>
      </w:r>
    </w:p>
    <w:p w:rsidR="000C6201" w:rsidRPr="00453881" w:rsidRDefault="000C6201" w:rsidP="000C6201">
      <w:pPr>
        <w:pStyle w:val="ListParagraph"/>
        <w:ind w:left="360"/>
        <w:rPr>
          <w:rFonts w:ascii="Times New Roman" w:hAnsi="Times New Roman"/>
        </w:rPr>
      </w:pPr>
    </w:p>
    <w:p w:rsidR="000C6201" w:rsidRPr="00453881" w:rsidRDefault="000C6201" w:rsidP="000C6201">
      <w:pPr>
        <w:pStyle w:val="ListParagraph"/>
        <w:numPr>
          <w:ilvl w:val="0"/>
          <w:numId w:val="9"/>
        </w:numPr>
        <w:rPr>
          <w:rFonts w:ascii="Times New Roman" w:hAnsi="Times New Roman"/>
        </w:rPr>
      </w:pPr>
      <w:r>
        <w:rPr>
          <w:rFonts w:ascii="Times New Roman" w:hAnsi="Times New Roman"/>
        </w:rPr>
        <w:t xml:space="preserve">Review the implementation of </w:t>
      </w:r>
      <w:r w:rsidRPr="00453881">
        <w:rPr>
          <w:rFonts w:ascii="Times New Roman" w:hAnsi="Times New Roman"/>
        </w:rPr>
        <w:t>recommendations</w:t>
      </w:r>
      <w:r>
        <w:rPr>
          <w:rFonts w:ascii="Times New Roman" w:hAnsi="Times New Roman"/>
        </w:rPr>
        <w:t xml:space="preserve"> in the 2010 report.</w:t>
      </w:r>
    </w:p>
    <w:p w:rsidR="000C6201" w:rsidRPr="006A2B08" w:rsidRDefault="000C6201" w:rsidP="006A2B08">
      <w:pPr>
        <w:rPr>
          <w:rFonts w:ascii="Times New Roman" w:hAnsi="Times New Roman"/>
          <w:sz w:val="24"/>
          <w:szCs w:val="24"/>
        </w:rPr>
      </w:pPr>
    </w:p>
    <w:p w:rsidR="006A2B08" w:rsidRDefault="006A2B08" w:rsidP="006A2B08">
      <w:pPr>
        <w:rPr>
          <w:rFonts w:ascii="Times New Roman" w:hAnsi="Times New Roman"/>
          <w:i/>
          <w:sz w:val="24"/>
          <w:szCs w:val="24"/>
        </w:rPr>
      </w:pPr>
      <w:r w:rsidRPr="004C1A9E">
        <w:rPr>
          <w:rFonts w:ascii="Times New Roman" w:hAnsi="Times New Roman"/>
          <w:i/>
          <w:sz w:val="24"/>
          <w:szCs w:val="24"/>
        </w:rPr>
        <w:t>Public Consultation</w:t>
      </w:r>
    </w:p>
    <w:p w:rsidR="004C1A9E" w:rsidRDefault="004C1A9E" w:rsidP="006A2B08">
      <w:pPr>
        <w:rPr>
          <w:rFonts w:ascii="Times New Roman" w:hAnsi="Times New Roman"/>
          <w:sz w:val="24"/>
          <w:szCs w:val="24"/>
        </w:rPr>
      </w:pPr>
      <w:r>
        <w:rPr>
          <w:rFonts w:ascii="Times New Roman" w:hAnsi="Times New Roman"/>
          <w:sz w:val="24"/>
          <w:szCs w:val="24"/>
        </w:rPr>
        <w:t xml:space="preserve">The consensus-based process at CASA incorporates consultation in many forms. Public consultation </w:t>
      </w:r>
      <w:r w:rsidR="00200C1E">
        <w:rPr>
          <w:rFonts w:ascii="Times New Roman" w:hAnsi="Times New Roman"/>
          <w:sz w:val="24"/>
          <w:szCs w:val="24"/>
        </w:rPr>
        <w:t xml:space="preserve">for this project </w:t>
      </w:r>
      <w:r w:rsidR="005346AB">
        <w:rPr>
          <w:rFonts w:ascii="Times New Roman" w:hAnsi="Times New Roman"/>
          <w:sz w:val="24"/>
          <w:szCs w:val="24"/>
        </w:rPr>
        <w:t xml:space="preserve">would be determined by the </w:t>
      </w:r>
      <w:r w:rsidR="000C463F">
        <w:rPr>
          <w:rFonts w:ascii="Times New Roman" w:hAnsi="Times New Roman"/>
          <w:sz w:val="24"/>
          <w:szCs w:val="24"/>
        </w:rPr>
        <w:t xml:space="preserve">scope of </w:t>
      </w:r>
      <w:r w:rsidR="005346AB">
        <w:rPr>
          <w:rFonts w:ascii="Times New Roman" w:hAnsi="Times New Roman"/>
          <w:sz w:val="24"/>
          <w:szCs w:val="24"/>
        </w:rPr>
        <w:t xml:space="preserve">work being undertaken (e.g. a structural review may require more </w:t>
      </w:r>
      <w:r w:rsidR="008736E8">
        <w:rPr>
          <w:rFonts w:ascii="Times New Roman" w:hAnsi="Times New Roman"/>
          <w:sz w:val="24"/>
          <w:szCs w:val="24"/>
        </w:rPr>
        <w:t>extensive</w:t>
      </w:r>
      <w:r w:rsidR="009727AE">
        <w:rPr>
          <w:rFonts w:ascii="Times New Roman" w:hAnsi="Times New Roman"/>
          <w:sz w:val="24"/>
          <w:szCs w:val="24"/>
        </w:rPr>
        <w:t xml:space="preserve"> public</w:t>
      </w:r>
      <w:r w:rsidR="005346AB">
        <w:rPr>
          <w:rFonts w:ascii="Times New Roman" w:hAnsi="Times New Roman"/>
          <w:sz w:val="24"/>
          <w:szCs w:val="24"/>
        </w:rPr>
        <w:t xml:space="preserve"> </w:t>
      </w:r>
      <w:r w:rsidR="009727AE">
        <w:rPr>
          <w:rFonts w:ascii="Times New Roman" w:hAnsi="Times New Roman"/>
          <w:sz w:val="24"/>
          <w:szCs w:val="24"/>
        </w:rPr>
        <w:t>engagement</w:t>
      </w:r>
      <w:r w:rsidR="005346AB">
        <w:rPr>
          <w:rFonts w:ascii="Times New Roman" w:hAnsi="Times New Roman"/>
          <w:sz w:val="24"/>
          <w:szCs w:val="24"/>
        </w:rPr>
        <w:t xml:space="preserve">). Public consultation </w:t>
      </w:r>
      <w:r>
        <w:rPr>
          <w:rFonts w:ascii="Times New Roman" w:hAnsi="Times New Roman"/>
          <w:sz w:val="24"/>
          <w:szCs w:val="24"/>
        </w:rPr>
        <w:t>should, at the least, increase awareness of the Electricity Framework.</w:t>
      </w:r>
    </w:p>
    <w:p w:rsidR="004C1A9E" w:rsidRPr="004C1A9E" w:rsidRDefault="004C1A9E" w:rsidP="006A2B08">
      <w:pPr>
        <w:rPr>
          <w:rFonts w:ascii="Times New Roman" w:hAnsi="Times New Roman"/>
          <w:sz w:val="24"/>
          <w:szCs w:val="24"/>
        </w:rPr>
      </w:pPr>
    </w:p>
    <w:p w:rsidR="006A2B08" w:rsidRDefault="006A2B08" w:rsidP="006A2B08">
      <w:pPr>
        <w:pStyle w:val="ListParagraph"/>
        <w:numPr>
          <w:ilvl w:val="0"/>
          <w:numId w:val="9"/>
        </w:numPr>
        <w:rPr>
          <w:rFonts w:ascii="Times New Roman" w:hAnsi="Times New Roman"/>
          <w:sz w:val="24"/>
          <w:szCs w:val="24"/>
        </w:rPr>
      </w:pPr>
      <w:r w:rsidRPr="006A2B08">
        <w:rPr>
          <w:rFonts w:ascii="Times New Roman" w:hAnsi="Times New Roman"/>
          <w:sz w:val="24"/>
          <w:szCs w:val="24"/>
        </w:rPr>
        <w:t>Develop and implement a strategy and action plan for communicating and engaging with stakeholders and the public. Consider timing for public consultation.</w:t>
      </w:r>
    </w:p>
    <w:p w:rsidR="004544E3" w:rsidRDefault="004544E3" w:rsidP="004544E3">
      <w:pPr>
        <w:rPr>
          <w:rFonts w:ascii="Times New Roman" w:hAnsi="Times New Roman"/>
          <w:sz w:val="24"/>
          <w:szCs w:val="24"/>
        </w:rPr>
      </w:pPr>
    </w:p>
    <w:p w:rsidR="004544E3" w:rsidRPr="00461068" w:rsidRDefault="004544E3" w:rsidP="004544E3">
      <w:pPr>
        <w:rPr>
          <w:rFonts w:ascii="Times New Roman" w:hAnsi="Times New Roman"/>
          <w:i/>
          <w:sz w:val="24"/>
          <w:szCs w:val="24"/>
        </w:rPr>
      </w:pPr>
      <w:r w:rsidRPr="00461068">
        <w:rPr>
          <w:rFonts w:ascii="Times New Roman" w:hAnsi="Times New Roman"/>
          <w:i/>
          <w:sz w:val="24"/>
          <w:szCs w:val="24"/>
        </w:rPr>
        <w:t>Potential Future Work</w:t>
      </w:r>
    </w:p>
    <w:p w:rsidR="00E25796" w:rsidRDefault="00E25796" w:rsidP="00E25796">
      <w:pPr>
        <w:rPr>
          <w:rFonts w:ascii="Times New Roman" w:hAnsi="Times New Roman"/>
          <w:sz w:val="24"/>
          <w:szCs w:val="24"/>
        </w:rPr>
      </w:pPr>
      <w:r w:rsidRPr="00E25796">
        <w:rPr>
          <w:rFonts w:ascii="Times New Roman" w:hAnsi="Times New Roman"/>
          <w:sz w:val="24"/>
          <w:szCs w:val="24"/>
        </w:rPr>
        <w:t xml:space="preserve">If revisions are made to the Framework, </w:t>
      </w:r>
      <w:r>
        <w:rPr>
          <w:rFonts w:ascii="Times New Roman" w:hAnsi="Times New Roman"/>
          <w:sz w:val="24"/>
          <w:szCs w:val="24"/>
        </w:rPr>
        <w:t>the project team should update the</w:t>
      </w:r>
      <w:r w:rsidRPr="00E25796">
        <w:rPr>
          <w:rFonts w:ascii="Times New Roman" w:hAnsi="Times New Roman"/>
          <w:sz w:val="24"/>
          <w:szCs w:val="24"/>
        </w:rPr>
        <w:t xml:space="preserve"> </w:t>
      </w:r>
      <w:r>
        <w:rPr>
          <w:rFonts w:ascii="Times New Roman" w:hAnsi="Times New Roman"/>
          <w:sz w:val="24"/>
          <w:szCs w:val="24"/>
        </w:rPr>
        <w:t xml:space="preserve">October 2012 </w:t>
      </w:r>
      <w:r w:rsidRPr="00E25796">
        <w:rPr>
          <w:rFonts w:ascii="Times New Roman" w:hAnsi="Times New Roman"/>
          <w:sz w:val="24"/>
          <w:szCs w:val="24"/>
        </w:rPr>
        <w:t xml:space="preserve">report </w:t>
      </w:r>
      <w:r>
        <w:rPr>
          <w:rFonts w:ascii="Times New Roman" w:hAnsi="Times New Roman"/>
          <w:sz w:val="24"/>
          <w:szCs w:val="24"/>
        </w:rPr>
        <w:t xml:space="preserve">from the Electricity Working Group. The team should </w:t>
      </w:r>
      <w:r w:rsidRPr="00E25796">
        <w:rPr>
          <w:rFonts w:ascii="Times New Roman" w:hAnsi="Times New Roman"/>
          <w:sz w:val="24"/>
          <w:szCs w:val="24"/>
        </w:rPr>
        <w:t>re-evaluat</w:t>
      </w:r>
      <w:r w:rsidR="004C1A9E">
        <w:rPr>
          <w:rFonts w:ascii="Times New Roman" w:hAnsi="Times New Roman"/>
          <w:sz w:val="24"/>
          <w:szCs w:val="24"/>
        </w:rPr>
        <w:t>e</w:t>
      </w:r>
      <w:r w:rsidRPr="00E25796">
        <w:rPr>
          <w:rFonts w:ascii="Times New Roman" w:hAnsi="Times New Roman"/>
          <w:sz w:val="24"/>
          <w:szCs w:val="24"/>
        </w:rPr>
        <w:t xml:space="preserve"> the projected outcomes of the mid-life BLIERs for existing coal units and the Framework, including the environmental and economic gains and losses if the proposed mid-life BLIERs were to </w:t>
      </w:r>
      <w:r w:rsidR="008736E8">
        <w:rPr>
          <w:rFonts w:ascii="Times New Roman" w:hAnsi="Times New Roman"/>
          <w:sz w:val="24"/>
          <w:szCs w:val="24"/>
        </w:rPr>
        <w:t>be applied in Alberta</w:t>
      </w:r>
      <w:r w:rsidRPr="00E25796">
        <w:rPr>
          <w:rFonts w:ascii="Times New Roman" w:hAnsi="Times New Roman"/>
          <w:sz w:val="24"/>
          <w:szCs w:val="24"/>
        </w:rPr>
        <w:t xml:space="preserve">. </w:t>
      </w:r>
    </w:p>
    <w:p w:rsidR="005346AB" w:rsidRPr="00E25796" w:rsidRDefault="005346AB" w:rsidP="00E25796">
      <w:pPr>
        <w:rPr>
          <w:rFonts w:ascii="Times New Roman" w:hAnsi="Times New Roman"/>
          <w:sz w:val="24"/>
          <w:lang w:val="en-CA"/>
        </w:rPr>
      </w:pPr>
    </w:p>
    <w:p w:rsidR="004544E3" w:rsidRPr="006A2B08" w:rsidRDefault="004544E3" w:rsidP="004544E3">
      <w:pPr>
        <w:pBdr>
          <w:top w:val="single" w:sz="4" w:space="1" w:color="auto"/>
          <w:left w:val="single" w:sz="4" w:space="4" w:color="auto"/>
          <w:bottom w:val="single" w:sz="4" w:space="1" w:color="auto"/>
          <w:right w:val="single" w:sz="4" w:space="4" w:color="auto"/>
        </w:pBdr>
        <w:shd w:val="clear" w:color="auto" w:fill="F2F2F2" w:themeFill="background1" w:themeFillShade="F2"/>
        <w:ind w:left="360"/>
        <w:rPr>
          <w:rFonts w:ascii="Times New Roman" w:hAnsi="Times New Roman"/>
          <w:sz w:val="24"/>
          <w:szCs w:val="24"/>
        </w:rPr>
      </w:pPr>
      <w:r w:rsidRPr="006A2B08">
        <w:rPr>
          <w:rFonts w:ascii="Times New Roman" w:hAnsi="Times New Roman"/>
          <w:sz w:val="24"/>
          <w:szCs w:val="24"/>
        </w:rPr>
        <w:t>Inputs</w:t>
      </w:r>
      <w:r w:rsidR="00055A18">
        <w:rPr>
          <w:rFonts w:ascii="Times New Roman" w:hAnsi="Times New Roman"/>
          <w:sz w:val="24"/>
          <w:szCs w:val="24"/>
        </w:rPr>
        <w:t xml:space="preserve"> may include:</w:t>
      </w:r>
    </w:p>
    <w:p w:rsidR="004544E3" w:rsidRPr="006A2B08" w:rsidRDefault="004544E3" w:rsidP="004544E3">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sz w:val="24"/>
          <w:szCs w:val="24"/>
        </w:rPr>
      </w:pPr>
      <w:r w:rsidRPr="006A2B08">
        <w:rPr>
          <w:rFonts w:ascii="Times New Roman" w:hAnsi="Times New Roman"/>
          <w:sz w:val="24"/>
          <w:szCs w:val="24"/>
        </w:rPr>
        <w:t>Electricity Working Group Report, prepared for the CASA Board of Directors, October 5, 2012.</w:t>
      </w:r>
    </w:p>
    <w:p w:rsidR="004544E3" w:rsidRPr="006A2B08" w:rsidRDefault="004544E3" w:rsidP="004544E3">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sz w:val="24"/>
          <w:szCs w:val="24"/>
        </w:rPr>
      </w:pPr>
      <w:r w:rsidRPr="006A2B08">
        <w:rPr>
          <w:rFonts w:ascii="Times New Roman" w:hAnsi="Times New Roman"/>
          <w:sz w:val="24"/>
          <w:szCs w:val="24"/>
        </w:rPr>
        <w:t xml:space="preserve">Information/documentation </w:t>
      </w:r>
      <w:r>
        <w:rPr>
          <w:rFonts w:ascii="Times New Roman" w:hAnsi="Times New Roman"/>
          <w:sz w:val="24"/>
          <w:szCs w:val="24"/>
        </w:rPr>
        <w:t>on the most recent Environment Canada proposal for BLIERs for existing coal units</w:t>
      </w:r>
      <w:r w:rsidRPr="006A2B08">
        <w:rPr>
          <w:rFonts w:ascii="Times New Roman" w:hAnsi="Times New Roman"/>
          <w:sz w:val="24"/>
          <w:szCs w:val="24"/>
        </w:rPr>
        <w:t>.</w:t>
      </w:r>
    </w:p>
    <w:p w:rsidR="004544E3" w:rsidRPr="004544E3" w:rsidRDefault="004544E3" w:rsidP="004544E3">
      <w:pPr>
        <w:rPr>
          <w:rFonts w:ascii="Times New Roman" w:hAnsi="Times New Roman"/>
          <w:sz w:val="24"/>
          <w:szCs w:val="24"/>
        </w:rPr>
      </w:pPr>
    </w:p>
    <w:p w:rsidR="008830AC" w:rsidRDefault="008830AC">
      <w:pPr>
        <w:spacing w:after="200" w:line="276" w:lineRule="auto"/>
        <w:rPr>
          <w:rFonts w:asciiTheme="majorHAnsi" w:eastAsiaTheme="majorEastAsia" w:hAnsiTheme="majorHAnsi" w:cstheme="majorBidi"/>
          <w:b/>
          <w:bCs/>
          <w:color w:val="365F91" w:themeColor="accent1" w:themeShade="BF"/>
          <w:sz w:val="28"/>
          <w:szCs w:val="28"/>
          <w:lang w:val="en-CA"/>
        </w:rPr>
      </w:pPr>
      <w:r>
        <w:rPr>
          <w:lang w:val="en-CA"/>
        </w:rPr>
        <w:br w:type="page"/>
      </w:r>
    </w:p>
    <w:p w:rsidR="00B43378" w:rsidRDefault="005F7F32" w:rsidP="00B43378">
      <w:pPr>
        <w:pStyle w:val="Heading1"/>
        <w:rPr>
          <w:lang w:val="en-CA"/>
        </w:rPr>
      </w:pPr>
      <w:bookmarkStart w:id="5" w:name="_Toc350177520"/>
      <w:r>
        <w:rPr>
          <w:lang w:val="en-CA"/>
        </w:rPr>
        <w:lastRenderedPageBreak/>
        <w:t>Project S</w:t>
      </w:r>
      <w:r w:rsidR="007D60D9" w:rsidRPr="00834294">
        <w:rPr>
          <w:lang w:val="en-CA"/>
        </w:rPr>
        <w:t>cope</w:t>
      </w:r>
      <w:bookmarkEnd w:id="5"/>
    </w:p>
    <w:p w:rsidR="00B03386" w:rsidRDefault="00B03386" w:rsidP="00B03386">
      <w:pPr>
        <w:rPr>
          <w:rFonts w:ascii="Times New Roman" w:hAnsi="Times New Roman"/>
          <w:sz w:val="24"/>
          <w:lang w:val="en-CA"/>
        </w:rPr>
      </w:pPr>
      <w:r w:rsidRPr="008260A2">
        <w:rPr>
          <w:rFonts w:ascii="Times New Roman" w:hAnsi="Times New Roman"/>
          <w:sz w:val="24"/>
          <w:lang w:val="en-CA"/>
        </w:rPr>
        <w:t xml:space="preserve">To ensure the Framework </w:t>
      </w:r>
      <w:r w:rsidR="0074383B">
        <w:rPr>
          <w:rFonts w:ascii="Times New Roman" w:hAnsi="Times New Roman"/>
          <w:sz w:val="24"/>
          <w:lang w:val="en-CA"/>
        </w:rPr>
        <w:t>reflects current circumstances</w:t>
      </w:r>
      <w:r w:rsidRPr="008260A2">
        <w:rPr>
          <w:rFonts w:ascii="Times New Roman" w:hAnsi="Times New Roman"/>
          <w:sz w:val="24"/>
          <w:lang w:val="en-CA"/>
        </w:rPr>
        <w:t xml:space="preserve">, a formal review of the framework is to be undertaken every </w:t>
      </w:r>
      <w:r w:rsidR="001B1A39">
        <w:rPr>
          <w:rFonts w:ascii="Times New Roman" w:hAnsi="Times New Roman"/>
          <w:sz w:val="24"/>
          <w:lang w:val="en-CA"/>
        </w:rPr>
        <w:t>five years (R</w:t>
      </w:r>
      <w:r w:rsidRPr="008260A2">
        <w:rPr>
          <w:rFonts w:ascii="Times New Roman" w:hAnsi="Times New Roman"/>
          <w:sz w:val="24"/>
          <w:lang w:val="en-CA"/>
        </w:rPr>
        <w:t>ecommendation 29).</w:t>
      </w:r>
      <w:r>
        <w:rPr>
          <w:rFonts w:ascii="Times New Roman" w:hAnsi="Times New Roman"/>
          <w:sz w:val="24"/>
          <w:lang w:val="en-CA"/>
        </w:rPr>
        <w:t xml:space="preserve"> </w:t>
      </w:r>
    </w:p>
    <w:p w:rsidR="001B1A39" w:rsidRDefault="001B1A39" w:rsidP="003947A8">
      <w:pPr>
        <w:rPr>
          <w:rFonts w:ascii="Times New Roman" w:hAnsi="Times New Roman"/>
          <w:sz w:val="24"/>
          <w:lang w:val="en-CA"/>
        </w:rPr>
      </w:pPr>
    </w:p>
    <w:p w:rsidR="005F6CE6" w:rsidRPr="005F6CE6" w:rsidRDefault="005F6CE6" w:rsidP="00B43378">
      <w:pPr>
        <w:rPr>
          <w:rFonts w:ascii="Times New Roman" w:hAnsi="Times New Roman"/>
          <w:i/>
          <w:sz w:val="24"/>
          <w:lang w:val="en-CA"/>
        </w:rPr>
      </w:pPr>
      <w:r w:rsidRPr="005F6CE6">
        <w:rPr>
          <w:rFonts w:ascii="Times New Roman" w:hAnsi="Times New Roman"/>
          <w:i/>
          <w:sz w:val="24"/>
          <w:lang w:val="en-CA"/>
        </w:rPr>
        <w:t>Requirements</w:t>
      </w:r>
    </w:p>
    <w:p w:rsidR="00F9096E" w:rsidRPr="00F9096E" w:rsidRDefault="005F6CE6" w:rsidP="005F6CE6">
      <w:pPr>
        <w:rPr>
          <w:rFonts w:ascii="Times New Roman" w:hAnsi="Times New Roman"/>
          <w:b/>
          <w:sz w:val="24"/>
          <w:szCs w:val="24"/>
        </w:rPr>
      </w:pPr>
      <w:r w:rsidRPr="00F9096E">
        <w:rPr>
          <w:rFonts w:ascii="Times New Roman" w:hAnsi="Times New Roman"/>
          <w:b/>
          <w:sz w:val="24"/>
          <w:szCs w:val="24"/>
        </w:rPr>
        <w:t>Recommendation 29</w:t>
      </w:r>
      <w:r w:rsidR="00F9096E">
        <w:rPr>
          <w:rFonts w:ascii="Times New Roman" w:hAnsi="Times New Roman"/>
          <w:b/>
          <w:sz w:val="24"/>
          <w:szCs w:val="24"/>
        </w:rPr>
        <w:t xml:space="preserve"> (2003)</w:t>
      </w:r>
    </w:p>
    <w:p w:rsidR="005F6CE6" w:rsidRPr="005F6CE6" w:rsidRDefault="00F9096E" w:rsidP="005F6CE6">
      <w:pPr>
        <w:rPr>
          <w:rFonts w:ascii="Times New Roman" w:hAnsi="Times New Roman"/>
          <w:sz w:val="24"/>
          <w:szCs w:val="24"/>
        </w:rPr>
      </w:pPr>
      <w:r>
        <w:rPr>
          <w:rFonts w:ascii="Times New Roman" w:hAnsi="Times New Roman"/>
          <w:sz w:val="24"/>
          <w:szCs w:val="24"/>
        </w:rPr>
        <w:t xml:space="preserve">This recommendation </w:t>
      </w:r>
      <w:r w:rsidR="005F6CE6" w:rsidRPr="005F6CE6">
        <w:rPr>
          <w:rFonts w:ascii="Times New Roman" w:hAnsi="Times New Roman"/>
          <w:sz w:val="24"/>
          <w:szCs w:val="24"/>
        </w:rPr>
        <w:t xml:space="preserve">outlines the following elements </w:t>
      </w:r>
      <w:r w:rsidR="00B87F58">
        <w:rPr>
          <w:rFonts w:ascii="Times New Roman" w:hAnsi="Times New Roman"/>
          <w:sz w:val="24"/>
          <w:szCs w:val="24"/>
        </w:rPr>
        <w:t xml:space="preserve">of the Framework </w:t>
      </w:r>
      <w:r w:rsidR="005F6CE6">
        <w:rPr>
          <w:rFonts w:ascii="Times New Roman" w:hAnsi="Times New Roman"/>
          <w:sz w:val="24"/>
          <w:szCs w:val="24"/>
        </w:rPr>
        <w:t>that must be reviewed</w:t>
      </w:r>
      <w:r w:rsidR="0088396A">
        <w:rPr>
          <w:rFonts w:ascii="Times New Roman" w:hAnsi="Times New Roman"/>
          <w:sz w:val="24"/>
          <w:szCs w:val="24"/>
        </w:rPr>
        <w:t xml:space="preserve"> by the project team</w:t>
      </w:r>
      <w:r w:rsidR="005F6CE6">
        <w:rPr>
          <w:rFonts w:ascii="Times New Roman" w:hAnsi="Times New Roman"/>
          <w:sz w:val="24"/>
          <w:szCs w:val="24"/>
        </w:rPr>
        <w:t>:</w:t>
      </w:r>
    </w:p>
    <w:p w:rsidR="005F6CE6" w:rsidRPr="005F6CE6" w:rsidRDefault="005F6CE6" w:rsidP="005F6CE6">
      <w:pPr>
        <w:rPr>
          <w:rFonts w:ascii="Times New Roman" w:hAnsi="Times New Roman"/>
          <w:sz w:val="24"/>
          <w:szCs w:val="24"/>
        </w:rPr>
      </w:pPr>
    </w:p>
    <w:p w:rsidR="005F6CE6" w:rsidRPr="005F6CE6" w:rsidRDefault="005F6CE6" w:rsidP="005F6CE6">
      <w:pPr>
        <w:numPr>
          <w:ilvl w:val="0"/>
          <w:numId w:val="14"/>
        </w:numPr>
        <w:rPr>
          <w:rFonts w:ascii="Times New Roman" w:hAnsi="Times New Roman"/>
          <w:sz w:val="24"/>
          <w:szCs w:val="24"/>
        </w:rPr>
      </w:pPr>
      <w:r w:rsidRPr="005F6CE6">
        <w:rPr>
          <w:rFonts w:ascii="Times New Roman" w:hAnsi="Times New Roman"/>
          <w:sz w:val="24"/>
          <w:szCs w:val="24"/>
        </w:rPr>
        <w:t xml:space="preserve">A technology review to identify the Best Available Technology Economically Achievable (BATEA) emission standards </w:t>
      </w:r>
    </w:p>
    <w:p w:rsidR="005F6CE6" w:rsidRPr="005F6CE6" w:rsidRDefault="005F6CE6" w:rsidP="005F6CE6">
      <w:pPr>
        <w:numPr>
          <w:ilvl w:val="0"/>
          <w:numId w:val="14"/>
        </w:numPr>
        <w:rPr>
          <w:rFonts w:ascii="Times New Roman" w:hAnsi="Times New Roman"/>
          <w:sz w:val="24"/>
          <w:szCs w:val="24"/>
        </w:rPr>
      </w:pPr>
      <w:r w:rsidRPr="005F6CE6">
        <w:rPr>
          <w:rFonts w:ascii="Times New Roman" w:hAnsi="Times New Roman"/>
          <w:sz w:val="24"/>
          <w:szCs w:val="24"/>
        </w:rPr>
        <w:t xml:space="preserve">The air emission substances subject to limits or formal management, </w:t>
      </w:r>
    </w:p>
    <w:p w:rsidR="005F6CE6" w:rsidRPr="005F6CE6" w:rsidRDefault="005F6CE6" w:rsidP="005F6CE6">
      <w:pPr>
        <w:numPr>
          <w:ilvl w:val="0"/>
          <w:numId w:val="14"/>
        </w:numPr>
        <w:rPr>
          <w:rFonts w:ascii="Times New Roman" w:hAnsi="Times New Roman"/>
          <w:sz w:val="24"/>
          <w:szCs w:val="24"/>
        </w:rPr>
      </w:pPr>
      <w:r w:rsidRPr="005F6CE6">
        <w:rPr>
          <w:rFonts w:ascii="Times New Roman" w:hAnsi="Times New Roman"/>
          <w:sz w:val="24"/>
          <w:szCs w:val="24"/>
        </w:rPr>
        <w:t>Co-benefits for priority substances and List 2 substances;</w:t>
      </w:r>
    </w:p>
    <w:p w:rsidR="005F6CE6" w:rsidRPr="005F6CE6" w:rsidRDefault="005F6CE6" w:rsidP="005F6CE6">
      <w:pPr>
        <w:numPr>
          <w:ilvl w:val="0"/>
          <w:numId w:val="14"/>
        </w:numPr>
        <w:rPr>
          <w:rFonts w:ascii="Times New Roman" w:hAnsi="Times New Roman"/>
          <w:sz w:val="24"/>
          <w:szCs w:val="24"/>
          <w:lang w:val="en-GB"/>
        </w:rPr>
      </w:pPr>
      <w:r w:rsidRPr="005F6CE6">
        <w:rPr>
          <w:rFonts w:ascii="Times New Roman" w:hAnsi="Times New Roman"/>
          <w:sz w:val="24"/>
          <w:szCs w:val="24"/>
        </w:rPr>
        <w:t xml:space="preserve">A review of economic and environmental triggers as set out in the framework in recommendations 34 and 35; </w:t>
      </w:r>
    </w:p>
    <w:p w:rsidR="005F6CE6" w:rsidRPr="005F6CE6" w:rsidRDefault="005F6CE6" w:rsidP="005F6CE6">
      <w:pPr>
        <w:numPr>
          <w:ilvl w:val="0"/>
          <w:numId w:val="14"/>
        </w:numPr>
        <w:rPr>
          <w:rFonts w:ascii="Times New Roman" w:hAnsi="Times New Roman"/>
          <w:sz w:val="24"/>
          <w:szCs w:val="24"/>
          <w:lang w:val="en-GB"/>
        </w:rPr>
      </w:pPr>
      <w:r w:rsidRPr="005F6CE6">
        <w:rPr>
          <w:rFonts w:ascii="Times New Roman" w:hAnsi="Times New Roman"/>
          <w:sz w:val="24"/>
          <w:szCs w:val="24"/>
          <w:lang w:val="en-GB"/>
        </w:rPr>
        <w:t>Additional information that illustrates potential health effects associated with emissions from the electricity sector; and</w:t>
      </w:r>
    </w:p>
    <w:p w:rsidR="005F6CE6" w:rsidRDefault="005F6CE6" w:rsidP="005F6CE6">
      <w:pPr>
        <w:numPr>
          <w:ilvl w:val="0"/>
          <w:numId w:val="14"/>
        </w:numPr>
        <w:rPr>
          <w:rFonts w:ascii="Times New Roman" w:hAnsi="Times New Roman"/>
          <w:sz w:val="24"/>
          <w:szCs w:val="24"/>
        </w:rPr>
      </w:pPr>
      <w:r w:rsidRPr="005F6CE6">
        <w:rPr>
          <w:rFonts w:ascii="Times New Roman" w:hAnsi="Times New Roman"/>
          <w:sz w:val="24"/>
          <w:szCs w:val="24"/>
        </w:rPr>
        <w:t xml:space="preserve">A report from the electricity </w:t>
      </w:r>
      <w:r w:rsidR="00612870">
        <w:rPr>
          <w:rFonts w:ascii="Times New Roman" w:hAnsi="Times New Roman"/>
          <w:sz w:val="24"/>
          <w:szCs w:val="24"/>
        </w:rPr>
        <w:t>sector</w:t>
      </w:r>
      <w:r w:rsidR="00135D67">
        <w:rPr>
          <w:rFonts w:ascii="Times New Roman" w:hAnsi="Times New Roman"/>
          <w:sz w:val="24"/>
          <w:szCs w:val="24"/>
        </w:rPr>
        <w:t xml:space="preserve"> on continuous improvement.</w:t>
      </w:r>
    </w:p>
    <w:p w:rsidR="00135D67" w:rsidRDefault="00135D67" w:rsidP="00135D67">
      <w:pPr>
        <w:rPr>
          <w:rFonts w:ascii="Times New Roman" w:hAnsi="Times New Roman"/>
          <w:sz w:val="24"/>
          <w:szCs w:val="24"/>
        </w:rPr>
      </w:pPr>
    </w:p>
    <w:p w:rsidR="00F9096E" w:rsidRPr="00F9096E" w:rsidRDefault="00F9096E" w:rsidP="00135D67">
      <w:pPr>
        <w:rPr>
          <w:rFonts w:ascii="Times New Roman" w:hAnsi="Times New Roman"/>
          <w:b/>
          <w:sz w:val="24"/>
          <w:szCs w:val="24"/>
        </w:rPr>
      </w:pPr>
      <w:r w:rsidRPr="00F9096E">
        <w:rPr>
          <w:rFonts w:ascii="Times New Roman" w:hAnsi="Times New Roman"/>
          <w:b/>
          <w:sz w:val="24"/>
          <w:szCs w:val="24"/>
        </w:rPr>
        <w:t>Recommendation 22</w:t>
      </w:r>
      <w:r>
        <w:rPr>
          <w:rFonts w:ascii="Times New Roman" w:hAnsi="Times New Roman"/>
          <w:b/>
          <w:sz w:val="24"/>
          <w:szCs w:val="24"/>
        </w:rPr>
        <w:t xml:space="preserve"> (2003)</w:t>
      </w:r>
    </w:p>
    <w:p w:rsidR="00F9096E" w:rsidRDefault="00F9096E" w:rsidP="00135D67">
      <w:pPr>
        <w:rPr>
          <w:rFonts w:ascii="Times New Roman" w:hAnsi="Times New Roman"/>
          <w:sz w:val="24"/>
          <w:szCs w:val="24"/>
        </w:rPr>
      </w:pPr>
      <w:r>
        <w:rPr>
          <w:rFonts w:ascii="Times New Roman" w:hAnsi="Times New Roman"/>
          <w:sz w:val="24"/>
          <w:szCs w:val="24"/>
        </w:rPr>
        <w:t>This recommendation states that if mercury control does not provide the anticipated co-reduction of primary particul</w:t>
      </w:r>
      <w:r w:rsidR="00B501B3">
        <w:rPr>
          <w:rFonts w:ascii="Times New Roman" w:hAnsi="Times New Roman"/>
          <w:sz w:val="24"/>
          <w:szCs w:val="24"/>
        </w:rPr>
        <w:t>ate matter, then the Five-Year R</w:t>
      </w:r>
      <w:r>
        <w:rPr>
          <w:rFonts w:ascii="Times New Roman" w:hAnsi="Times New Roman"/>
          <w:sz w:val="24"/>
          <w:szCs w:val="24"/>
        </w:rPr>
        <w:t xml:space="preserve">eview should develop a primary </w:t>
      </w:r>
      <w:r w:rsidR="00612870">
        <w:rPr>
          <w:rFonts w:ascii="Times New Roman" w:hAnsi="Times New Roman"/>
          <w:sz w:val="24"/>
          <w:szCs w:val="24"/>
        </w:rPr>
        <w:t>particulate</w:t>
      </w:r>
      <w:r>
        <w:rPr>
          <w:rFonts w:ascii="Times New Roman" w:hAnsi="Times New Roman"/>
          <w:sz w:val="24"/>
          <w:szCs w:val="24"/>
        </w:rPr>
        <w:t xml:space="preserve"> matter manage</w:t>
      </w:r>
      <w:r w:rsidR="00AD51BB">
        <w:rPr>
          <w:rFonts w:ascii="Times New Roman" w:hAnsi="Times New Roman"/>
          <w:sz w:val="24"/>
          <w:szCs w:val="24"/>
        </w:rPr>
        <w:t>ment system for existing units.</w:t>
      </w:r>
    </w:p>
    <w:p w:rsidR="00F9096E" w:rsidRDefault="00F9096E" w:rsidP="00135D67">
      <w:pPr>
        <w:rPr>
          <w:rFonts w:ascii="Times New Roman" w:hAnsi="Times New Roman"/>
          <w:sz w:val="24"/>
          <w:szCs w:val="24"/>
        </w:rPr>
      </w:pPr>
    </w:p>
    <w:p w:rsidR="00B501B3" w:rsidRPr="00B501B3" w:rsidRDefault="00B501B3" w:rsidP="00135D67">
      <w:pPr>
        <w:rPr>
          <w:rFonts w:ascii="Times New Roman" w:hAnsi="Times New Roman"/>
          <w:b/>
          <w:sz w:val="24"/>
          <w:szCs w:val="24"/>
        </w:rPr>
      </w:pPr>
      <w:r w:rsidRPr="00B501B3">
        <w:rPr>
          <w:rFonts w:ascii="Times New Roman" w:hAnsi="Times New Roman"/>
          <w:b/>
          <w:sz w:val="24"/>
          <w:szCs w:val="24"/>
        </w:rPr>
        <w:t>Recommendation 1 (2010)</w:t>
      </w:r>
    </w:p>
    <w:p w:rsidR="00B501B3" w:rsidRDefault="00B501B3" w:rsidP="00135D67">
      <w:pPr>
        <w:rPr>
          <w:rFonts w:ascii="Times New Roman" w:hAnsi="Times New Roman"/>
          <w:sz w:val="24"/>
          <w:szCs w:val="24"/>
        </w:rPr>
      </w:pPr>
      <w:r>
        <w:rPr>
          <w:rFonts w:ascii="Times New Roman" w:hAnsi="Times New Roman"/>
          <w:sz w:val="24"/>
          <w:szCs w:val="24"/>
        </w:rPr>
        <w:t xml:space="preserve">This recommendation states that the 2013 Five-Year </w:t>
      </w:r>
      <w:r w:rsidR="00BF7B5F">
        <w:rPr>
          <w:rFonts w:ascii="Times New Roman" w:hAnsi="Times New Roman"/>
          <w:sz w:val="24"/>
          <w:szCs w:val="24"/>
        </w:rPr>
        <w:t xml:space="preserve">Review team should complete an </w:t>
      </w:r>
      <w:r>
        <w:rPr>
          <w:rFonts w:ascii="Times New Roman" w:hAnsi="Times New Roman"/>
          <w:sz w:val="24"/>
          <w:szCs w:val="24"/>
        </w:rPr>
        <w:t>assessment of the implementation of Recommendations 8 and 9 of the 2003 Framework, regarding the Emissions Trading System.</w:t>
      </w:r>
    </w:p>
    <w:p w:rsidR="00B501B3" w:rsidRDefault="00B501B3" w:rsidP="00135D67">
      <w:pPr>
        <w:rPr>
          <w:rFonts w:ascii="Times New Roman" w:hAnsi="Times New Roman"/>
          <w:sz w:val="24"/>
          <w:szCs w:val="24"/>
        </w:rPr>
      </w:pPr>
    </w:p>
    <w:p w:rsidR="00135D67" w:rsidRPr="005F6CE6" w:rsidRDefault="00CB76C9" w:rsidP="00135D67">
      <w:pPr>
        <w:rPr>
          <w:rFonts w:ascii="Times New Roman" w:hAnsi="Times New Roman"/>
          <w:sz w:val="24"/>
          <w:szCs w:val="24"/>
        </w:rPr>
      </w:pPr>
      <w:r>
        <w:rPr>
          <w:rFonts w:ascii="Times New Roman" w:hAnsi="Times New Roman"/>
          <w:sz w:val="24"/>
          <w:szCs w:val="24"/>
        </w:rPr>
        <w:t>Further</w:t>
      </w:r>
      <w:r w:rsidR="00135D67">
        <w:rPr>
          <w:rFonts w:ascii="Times New Roman" w:hAnsi="Times New Roman"/>
          <w:sz w:val="24"/>
          <w:szCs w:val="24"/>
        </w:rPr>
        <w:t>, the project team must i</w:t>
      </w:r>
      <w:r w:rsidR="00135D67" w:rsidRPr="006A2B08">
        <w:rPr>
          <w:rFonts w:ascii="Times New Roman" w:hAnsi="Times New Roman"/>
          <w:sz w:val="24"/>
          <w:szCs w:val="24"/>
        </w:rPr>
        <w:t xml:space="preserve">dentify </w:t>
      </w:r>
      <w:r w:rsidR="00135D67">
        <w:rPr>
          <w:rFonts w:ascii="Times New Roman" w:hAnsi="Times New Roman"/>
          <w:sz w:val="24"/>
          <w:szCs w:val="24"/>
        </w:rPr>
        <w:t xml:space="preserve">the </w:t>
      </w:r>
      <w:r w:rsidR="00135D67" w:rsidRPr="006A2B08">
        <w:rPr>
          <w:rFonts w:ascii="Times New Roman" w:hAnsi="Times New Roman"/>
          <w:sz w:val="24"/>
          <w:szCs w:val="24"/>
        </w:rPr>
        <w:t xml:space="preserve">implications </w:t>
      </w:r>
      <w:r w:rsidR="00135D67">
        <w:rPr>
          <w:rFonts w:ascii="Times New Roman" w:hAnsi="Times New Roman"/>
          <w:sz w:val="24"/>
          <w:szCs w:val="24"/>
        </w:rPr>
        <w:t>of</w:t>
      </w:r>
      <w:r w:rsidR="00135D67" w:rsidRPr="006A2B08">
        <w:rPr>
          <w:rFonts w:ascii="Times New Roman" w:hAnsi="Times New Roman"/>
          <w:sz w:val="24"/>
          <w:szCs w:val="24"/>
        </w:rPr>
        <w:t xml:space="preserve"> the implementation of Canada’s</w:t>
      </w:r>
      <w:r w:rsidR="00135D67" w:rsidRPr="006A2B08">
        <w:rPr>
          <w:rFonts w:ascii="Times New Roman" w:hAnsi="Times New Roman"/>
          <w:i/>
          <w:sz w:val="24"/>
          <w:szCs w:val="24"/>
        </w:rPr>
        <w:t xml:space="preserve"> </w:t>
      </w:r>
      <w:r w:rsidR="00612870" w:rsidRPr="00612870">
        <w:rPr>
          <w:rFonts w:ascii="Times New Roman" w:hAnsi="Times New Roman"/>
          <w:sz w:val="24"/>
          <w:szCs w:val="24"/>
        </w:rPr>
        <w:t xml:space="preserve">GHG </w:t>
      </w:r>
      <w:r w:rsidR="00135D67" w:rsidRPr="00612870">
        <w:rPr>
          <w:rFonts w:ascii="Times New Roman" w:hAnsi="Times New Roman"/>
          <w:sz w:val="24"/>
          <w:szCs w:val="24"/>
        </w:rPr>
        <w:t>Regulations</w:t>
      </w:r>
      <w:r w:rsidR="00135D67">
        <w:rPr>
          <w:rFonts w:ascii="Times New Roman" w:hAnsi="Times New Roman"/>
          <w:sz w:val="24"/>
          <w:szCs w:val="24"/>
        </w:rPr>
        <w:t>.</w:t>
      </w:r>
      <w:r w:rsidR="00612870">
        <w:rPr>
          <w:rFonts w:ascii="Times New Roman" w:hAnsi="Times New Roman"/>
          <w:sz w:val="24"/>
          <w:szCs w:val="24"/>
        </w:rPr>
        <w:t xml:space="preserve"> It is anticipated </w:t>
      </w:r>
      <w:r w:rsidR="00972C79">
        <w:rPr>
          <w:rFonts w:ascii="Times New Roman" w:hAnsi="Times New Roman"/>
          <w:sz w:val="24"/>
          <w:szCs w:val="24"/>
        </w:rPr>
        <w:t xml:space="preserve">by the Government of Alberta </w:t>
      </w:r>
      <w:r w:rsidR="00612870">
        <w:rPr>
          <w:rFonts w:ascii="Times New Roman" w:hAnsi="Times New Roman"/>
          <w:sz w:val="24"/>
          <w:szCs w:val="24"/>
        </w:rPr>
        <w:t xml:space="preserve">that </w:t>
      </w:r>
      <w:r w:rsidR="00E22D46">
        <w:rPr>
          <w:rFonts w:ascii="Times New Roman" w:hAnsi="Times New Roman"/>
          <w:sz w:val="24"/>
          <w:szCs w:val="24"/>
        </w:rPr>
        <w:t>federal-</w:t>
      </w:r>
      <w:r w:rsidR="00612870">
        <w:rPr>
          <w:rFonts w:ascii="Times New Roman" w:hAnsi="Times New Roman"/>
          <w:sz w:val="24"/>
          <w:szCs w:val="24"/>
        </w:rPr>
        <w:t>provincial discussions regarding the implementation of the GHG Regulations will conclude at the end of 2013. To provide effective input to these discussions, the project team would have to provide recommendations before that date.</w:t>
      </w:r>
    </w:p>
    <w:p w:rsidR="005F6CE6" w:rsidRDefault="005F6CE6" w:rsidP="00B43378">
      <w:pPr>
        <w:rPr>
          <w:rFonts w:ascii="Times New Roman" w:hAnsi="Times New Roman"/>
          <w:sz w:val="24"/>
          <w:lang w:val="en-CA"/>
        </w:rPr>
      </w:pPr>
    </w:p>
    <w:p w:rsidR="00D30380" w:rsidRDefault="00D30380" w:rsidP="00B43378">
      <w:pPr>
        <w:rPr>
          <w:rFonts w:ascii="Times New Roman" w:hAnsi="Times New Roman"/>
          <w:sz w:val="24"/>
          <w:lang w:val="en-CA"/>
        </w:rPr>
      </w:pPr>
      <w:r>
        <w:rPr>
          <w:rFonts w:ascii="Times New Roman" w:hAnsi="Times New Roman"/>
          <w:sz w:val="24"/>
          <w:lang w:val="en-CA"/>
        </w:rPr>
        <w:t>It should also be noted that the 2003 Framework was a set of consensus recommendations, negotiated by the team and agreed to as a package. All elements were considered to be equally important.</w:t>
      </w:r>
    </w:p>
    <w:p w:rsidR="00D30380" w:rsidRDefault="00D30380" w:rsidP="00B43378">
      <w:pPr>
        <w:rPr>
          <w:rFonts w:ascii="Times New Roman" w:hAnsi="Times New Roman"/>
          <w:sz w:val="24"/>
          <w:lang w:val="en-CA"/>
        </w:rPr>
      </w:pPr>
    </w:p>
    <w:p w:rsidR="008F012A" w:rsidRPr="005F6CE6" w:rsidRDefault="008F012A" w:rsidP="008F012A">
      <w:pPr>
        <w:rPr>
          <w:rFonts w:ascii="Times New Roman" w:hAnsi="Times New Roman"/>
          <w:i/>
          <w:sz w:val="24"/>
          <w:lang w:val="en-CA"/>
        </w:rPr>
      </w:pPr>
      <w:r w:rsidRPr="005F6CE6">
        <w:rPr>
          <w:rFonts w:ascii="Times New Roman" w:hAnsi="Times New Roman"/>
          <w:i/>
          <w:sz w:val="24"/>
          <w:lang w:val="en-CA"/>
        </w:rPr>
        <w:t>Assumptions</w:t>
      </w:r>
    </w:p>
    <w:p w:rsidR="008F012A" w:rsidRPr="00C2150E" w:rsidRDefault="008F012A" w:rsidP="008F012A">
      <w:pPr>
        <w:rPr>
          <w:rFonts w:ascii="Times New Roman" w:hAnsi="Times New Roman"/>
          <w:sz w:val="24"/>
          <w:lang w:val="en-CA"/>
        </w:rPr>
      </w:pPr>
      <w:r w:rsidRPr="00C2150E">
        <w:rPr>
          <w:rFonts w:ascii="Times New Roman" w:hAnsi="Times New Roman"/>
          <w:sz w:val="24"/>
          <w:lang w:val="en-CA"/>
        </w:rPr>
        <w:t>Due to some uncertainty regarding federal/national initiatives, the project team should proceed with their work based on the following assumptions:</w:t>
      </w:r>
    </w:p>
    <w:p w:rsidR="008F012A" w:rsidRPr="00C2150E" w:rsidRDefault="008F012A" w:rsidP="008F012A">
      <w:pPr>
        <w:numPr>
          <w:ilvl w:val="0"/>
          <w:numId w:val="8"/>
        </w:numPr>
        <w:rPr>
          <w:rFonts w:ascii="Times New Roman" w:hAnsi="Times New Roman"/>
          <w:sz w:val="24"/>
          <w:lang w:val="en-CA"/>
        </w:rPr>
      </w:pPr>
      <w:r w:rsidRPr="00C2150E">
        <w:rPr>
          <w:rFonts w:ascii="Times New Roman" w:hAnsi="Times New Roman"/>
          <w:sz w:val="24"/>
          <w:lang w:val="en-CA"/>
        </w:rPr>
        <w:t>The GHG Regulation will be implemented</w:t>
      </w:r>
      <w:r w:rsidR="00BB3205">
        <w:rPr>
          <w:rFonts w:ascii="Times New Roman" w:hAnsi="Times New Roman"/>
          <w:sz w:val="24"/>
          <w:lang w:val="en-CA"/>
        </w:rPr>
        <w:t>,</w:t>
      </w:r>
      <w:r w:rsidRPr="00C2150E">
        <w:rPr>
          <w:rFonts w:ascii="Times New Roman" w:hAnsi="Times New Roman"/>
          <w:sz w:val="24"/>
          <w:lang w:val="en-CA"/>
        </w:rPr>
        <w:t xml:space="preserve"> </w:t>
      </w:r>
      <w:r w:rsidR="00BB3205">
        <w:rPr>
          <w:rFonts w:ascii="Times New Roman" w:hAnsi="Times New Roman"/>
          <w:sz w:val="24"/>
          <w:lang w:val="en-CA"/>
        </w:rPr>
        <w:t xml:space="preserve">as published in </w:t>
      </w:r>
      <w:r w:rsidR="00BB3205" w:rsidRPr="008260A2">
        <w:rPr>
          <w:rFonts w:ascii="Times New Roman" w:hAnsi="Times New Roman"/>
          <w:sz w:val="24"/>
          <w:lang w:val="en-CA"/>
        </w:rPr>
        <w:t xml:space="preserve">Canada Gazette, Part II: Official </w:t>
      </w:r>
      <w:r w:rsidR="00163B9F" w:rsidRPr="008260A2">
        <w:rPr>
          <w:rFonts w:ascii="Times New Roman" w:hAnsi="Times New Roman"/>
          <w:sz w:val="24"/>
          <w:lang w:val="en-CA"/>
        </w:rPr>
        <w:t>Regulations</w:t>
      </w:r>
      <w:r w:rsidR="00BB3205">
        <w:rPr>
          <w:rFonts w:ascii="Times New Roman" w:hAnsi="Times New Roman"/>
          <w:sz w:val="24"/>
          <w:lang w:val="en-CA"/>
        </w:rPr>
        <w:t xml:space="preserve"> </w:t>
      </w:r>
      <w:r w:rsidRPr="00C2150E">
        <w:rPr>
          <w:rFonts w:ascii="Times New Roman" w:hAnsi="Times New Roman"/>
          <w:sz w:val="24"/>
          <w:lang w:val="en-CA"/>
        </w:rPr>
        <w:t xml:space="preserve">and </w:t>
      </w:r>
      <w:r w:rsidR="008736E8">
        <w:rPr>
          <w:rFonts w:ascii="Times New Roman" w:hAnsi="Times New Roman"/>
          <w:sz w:val="24"/>
          <w:lang w:val="en-CA"/>
        </w:rPr>
        <w:t xml:space="preserve">any </w:t>
      </w:r>
      <w:r w:rsidRPr="00C2150E">
        <w:rPr>
          <w:rFonts w:ascii="Times New Roman" w:hAnsi="Times New Roman"/>
          <w:sz w:val="24"/>
          <w:lang w:val="en-CA"/>
        </w:rPr>
        <w:t xml:space="preserve">inconsistencies with the CASA Framework will need to be </w:t>
      </w:r>
      <w:r w:rsidR="008736E8">
        <w:rPr>
          <w:rFonts w:ascii="Times New Roman" w:hAnsi="Times New Roman"/>
          <w:sz w:val="24"/>
          <w:lang w:val="en-CA"/>
        </w:rPr>
        <w:t xml:space="preserve">identified, considered, and </w:t>
      </w:r>
      <w:r w:rsidR="008830AC">
        <w:rPr>
          <w:rFonts w:ascii="Times New Roman" w:hAnsi="Times New Roman"/>
          <w:sz w:val="24"/>
          <w:lang w:val="en-CA"/>
        </w:rPr>
        <w:t>addressed; and</w:t>
      </w:r>
    </w:p>
    <w:p w:rsidR="008F012A" w:rsidRPr="00C2150E" w:rsidRDefault="00CC1128" w:rsidP="008F012A">
      <w:pPr>
        <w:numPr>
          <w:ilvl w:val="0"/>
          <w:numId w:val="8"/>
        </w:numPr>
        <w:rPr>
          <w:rFonts w:ascii="Times New Roman" w:hAnsi="Times New Roman"/>
          <w:sz w:val="24"/>
          <w:lang w:val="en-CA"/>
        </w:rPr>
      </w:pPr>
      <w:r w:rsidRPr="00C2150E">
        <w:rPr>
          <w:rFonts w:ascii="Times New Roman" w:hAnsi="Times New Roman"/>
          <w:sz w:val="24"/>
          <w:lang w:val="en-CA"/>
        </w:rPr>
        <w:lastRenderedPageBreak/>
        <w:t>Mid-life</w:t>
      </w:r>
      <w:r w:rsidR="008F012A" w:rsidRPr="00C2150E">
        <w:rPr>
          <w:rFonts w:ascii="Times New Roman" w:hAnsi="Times New Roman"/>
          <w:sz w:val="24"/>
          <w:lang w:val="en-CA"/>
        </w:rPr>
        <w:t xml:space="preserve"> BLIERs for existing units will not be implemented in Alberta and need not be considered at this time.</w:t>
      </w:r>
    </w:p>
    <w:p w:rsidR="00B43378" w:rsidRDefault="005F7F32" w:rsidP="00B43378">
      <w:pPr>
        <w:pStyle w:val="Heading1"/>
        <w:rPr>
          <w:lang w:val="en-CA"/>
        </w:rPr>
      </w:pPr>
      <w:bookmarkStart w:id="6" w:name="_Toc350177521"/>
      <w:r>
        <w:rPr>
          <w:lang w:val="en-CA"/>
        </w:rPr>
        <w:t>Project D</w:t>
      </w:r>
      <w:r w:rsidR="007D60D9" w:rsidRPr="00834294">
        <w:rPr>
          <w:lang w:val="en-CA"/>
        </w:rPr>
        <w:t>eliverables</w:t>
      </w:r>
      <w:bookmarkEnd w:id="6"/>
    </w:p>
    <w:p w:rsidR="00304B90" w:rsidRPr="007E32E5" w:rsidRDefault="00C772EA" w:rsidP="007E32E5">
      <w:pPr>
        <w:rPr>
          <w:rFonts w:ascii="Times New Roman" w:hAnsi="Times New Roman"/>
          <w:sz w:val="24"/>
          <w:lang w:val="en-CA"/>
        </w:rPr>
      </w:pPr>
      <w:r w:rsidRPr="007E32E5">
        <w:rPr>
          <w:rFonts w:ascii="Times New Roman" w:hAnsi="Times New Roman"/>
          <w:sz w:val="24"/>
          <w:lang w:val="en-CA"/>
        </w:rPr>
        <w:t xml:space="preserve">A </w:t>
      </w:r>
      <w:r w:rsidR="00612870" w:rsidRPr="007E32E5">
        <w:rPr>
          <w:rFonts w:ascii="Times New Roman" w:hAnsi="Times New Roman"/>
          <w:sz w:val="24"/>
          <w:lang w:val="en-CA"/>
        </w:rPr>
        <w:t xml:space="preserve">final </w:t>
      </w:r>
      <w:r w:rsidR="00616373" w:rsidRPr="007E32E5">
        <w:rPr>
          <w:rFonts w:ascii="Times New Roman" w:hAnsi="Times New Roman"/>
          <w:sz w:val="24"/>
          <w:lang w:val="en-CA"/>
        </w:rPr>
        <w:t xml:space="preserve">report and </w:t>
      </w:r>
      <w:r w:rsidRPr="007E32E5">
        <w:rPr>
          <w:rFonts w:ascii="Times New Roman" w:hAnsi="Times New Roman"/>
          <w:sz w:val="24"/>
          <w:lang w:val="en-CA"/>
        </w:rPr>
        <w:t xml:space="preserve">recommendations for </w:t>
      </w:r>
      <w:r w:rsidR="00816390" w:rsidRPr="007E32E5">
        <w:rPr>
          <w:rFonts w:ascii="Times New Roman" w:hAnsi="Times New Roman"/>
          <w:sz w:val="24"/>
          <w:lang w:val="en-CA"/>
        </w:rPr>
        <w:t xml:space="preserve">updating and/or </w:t>
      </w:r>
      <w:r w:rsidRPr="007E32E5">
        <w:rPr>
          <w:rFonts w:ascii="Times New Roman" w:hAnsi="Times New Roman"/>
          <w:sz w:val="24"/>
          <w:lang w:val="en-CA"/>
        </w:rPr>
        <w:t>revising the Framework.</w:t>
      </w:r>
    </w:p>
    <w:p w:rsidR="00B43378" w:rsidRDefault="005F7F32" w:rsidP="00B43378">
      <w:pPr>
        <w:pStyle w:val="Heading1"/>
        <w:rPr>
          <w:lang w:val="en-CA"/>
        </w:rPr>
      </w:pPr>
      <w:bookmarkStart w:id="7" w:name="_Toc350177522"/>
      <w:r>
        <w:rPr>
          <w:lang w:val="en-CA"/>
        </w:rPr>
        <w:t>Project S</w:t>
      </w:r>
      <w:r w:rsidR="007D60D9" w:rsidRPr="00834294">
        <w:rPr>
          <w:lang w:val="en-CA"/>
        </w:rPr>
        <w:t>tructure</w:t>
      </w:r>
      <w:r>
        <w:rPr>
          <w:lang w:val="en-CA"/>
        </w:rPr>
        <w:t xml:space="preserve"> and S</w:t>
      </w:r>
      <w:r w:rsidR="00CB1789">
        <w:rPr>
          <w:lang w:val="en-CA"/>
        </w:rPr>
        <w:t>chedule</w:t>
      </w:r>
      <w:bookmarkEnd w:id="7"/>
    </w:p>
    <w:p w:rsidR="007D60D9" w:rsidRPr="001E0F8C" w:rsidRDefault="005D1A8E" w:rsidP="001E0F8C">
      <w:pPr>
        <w:pStyle w:val="ListParagraph"/>
        <w:numPr>
          <w:ilvl w:val="0"/>
          <w:numId w:val="22"/>
        </w:numPr>
        <w:rPr>
          <w:rFonts w:ascii="Times New Roman" w:hAnsi="Times New Roman"/>
          <w:sz w:val="24"/>
          <w:lang w:val="en-CA"/>
        </w:rPr>
      </w:pPr>
      <w:r w:rsidRPr="001E0F8C">
        <w:rPr>
          <w:rFonts w:ascii="Times New Roman" w:hAnsi="Times New Roman"/>
          <w:sz w:val="24"/>
          <w:lang w:val="en-CA"/>
        </w:rPr>
        <w:t>See road map.</w:t>
      </w:r>
    </w:p>
    <w:p w:rsidR="005F6CE6" w:rsidRPr="009B3258" w:rsidRDefault="001E0F8C" w:rsidP="001E0F8C">
      <w:pPr>
        <w:pStyle w:val="ListParagraph"/>
        <w:numPr>
          <w:ilvl w:val="0"/>
          <w:numId w:val="22"/>
        </w:numPr>
        <w:rPr>
          <w:rFonts w:ascii="Times New Roman" w:hAnsi="Times New Roman"/>
          <w:sz w:val="24"/>
          <w:lang w:val="en-CA"/>
        </w:rPr>
      </w:pPr>
      <w:r>
        <w:rPr>
          <w:rFonts w:ascii="Times New Roman" w:hAnsi="Times New Roman"/>
          <w:sz w:val="24"/>
        </w:rPr>
        <w:t>The project team should develop a</w:t>
      </w:r>
      <w:r w:rsidR="00B02D42" w:rsidRPr="001E0F8C">
        <w:rPr>
          <w:rFonts w:ascii="Times New Roman" w:hAnsi="Times New Roman"/>
          <w:sz w:val="24"/>
        </w:rPr>
        <w:t xml:space="preserve"> </w:t>
      </w:r>
      <w:r>
        <w:rPr>
          <w:rFonts w:ascii="Times New Roman" w:hAnsi="Times New Roman"/>
          <w:sz w:val="24"/>
        </w:rPr>
        <w:t>thorough</w:t>
      </w:r>
      <w:r w:rsidRPr="001E0F8C">
        <w:rPr>
          <w:rFonts w:ascii="Times New Roman" w:hAnsi="Times New Roman"/>
          <w:sz w:val="24"/>
        </w:rPr>
        <w:t xml:space="preserve"> </w:t>
      </w:r>
      <w:r w:rsidR="00B02D42" w:rsidRPr="001E0F8C">
        <w:rPr>
          <w:rFonts w:ascii="Times New Roman" w:hAnsi="Times New Roman"/>
          <w:sz w:val="24"/>
        </w:rPr>
        <w:t>project schedule (e.g. Gantt Chart)</w:t>
      </w:r>
      <w:r w:rsidR="007D60D9" w:rsidRPr="001E0F8C">
        <w:rPr>
          <w:rFonts w:ascii="Times New Roman" w:hAnsi="Times New Roman"/>
          <w:sz w:val="24"/>
        </w:rPr>
        <w:t xml:space="preserve"> </w:t>
      </w:r>
      <w:r>
        <w:rPr>
          <w:rFonts w:ascii="Times New Roman" w:hAnsi="Times New Roman"/>
          <w:sz w:val="24"/>
        </w:rPr>
        <w:t>when they convene.</w:t>
      </w:r>
    </w:p>
    <w:p w:rsidR="00B43378" w:rsidRDefault="0067146C" w:rsidP="00B43378">
      <w:pPr>
        <w:pStyle w:val="Heading1"/>
        <w:rPr>
          <w:lang w:val="en-CA"/>
        </w:rPr>
      </w:pPr>
      <w:bookmarkStart w:id="8" w:name="_Toc350177523"/>
      <w:r>
        <w:rPr>
          <w:lang w:val="en-CA"/>
        </w:rPr>
        <w:t>Project Risk A</w:t>
      </w:r>
      <w:r w:rsidR="007D60D9" w:rsidRPr="00834294">
        <w:rPr>
          <w:lang w:val="en-CA"/>
        </w:rPr>
        <w:t>nalysis</w:t>
      </w:r>
      <w:bookmarkEnd w:id="8"/>
    </w:p>
    <w:p w:rsidR="00F258DC" w:rsidRDefault="007D60D9" w:rsidP="00834294">
      <w:pPr>
        <w:rPr>
          <w:rFonts w:ascii="Times New Roman" w:hAnsi="Times New Roman"/>
          <w:sz w:val="24"/>
          <w:lang w:val="en-CA"/>
        </w:rPr>
      </w:pPr>
      <w:r w:rsidRPr="00834294">
        <w:rPr>
          <w:rFonts w:ascii="Times New Roman" w:hAnsi="Times New Roman"/>
          <w:sz w:val="24"/>
          <w:lang w:val="en-CA"/>
        </w:rPr>
        <w:t xml:space="preserve">Identifying, analyzing and mitigating project risks </w:t>
      </w:r>
      <w:r w:rsidR="007E32E5">
        <w:rPr>
          <w:rFonts w:ascii="Times New Roman" w:hAnsi="Times New Roman"/>
          <w:sz w:val="24"/>
          <w:lang w:val="en-CA"/>
        </w:rPr>
        <w:t>is</w:t>
      </w:r>
      <w:r w:rsidRPr="00834294">
        <w:rPr>
          <w:rFonts w:ascii="Times New Roman" w:hAnsi="Times New Roman"/>
          <w:sz w:val="24"/>
          <w:lang w:val="en-CA"/>
        </w:rPr>
        <w:t xml:space="preserve"> a key component to executing a successful project. Incorporating proactive risk management into the project that includes strategies to manage risks will assist in minimizing potential impacts to the project</w:t>
      </w:r>
      <w:r w:rsidR="00DD71B9">
        <w:rPr>
          <w:rFonts w:ascii="Times New Roman" w:hAnsi="Times New Roman"/>
          <w:sz w:val="24"/>
          <w:lang w:val="en-CA"/>
        </w:rPr>
        <w:t>’</w:t>
      </w:r>
      <w:r w:rsidRPr="00834294">
        <w:rPr>
          <w:rFonts w:ascii="Times New Roman" w:hAnsi="Times New Roman"/>
          <w:sz w:val="24"/>
          <w:lang w:val="en-CA"/>
        </w:rPr>
        <w:t xml:space="preserve">s scope, schedule </w:t>
      </w:r>
      <w:r w:rsidR="007E32E5">
        <w:rPr>
          <w:rFonts w:ascii="Times New Roman" w:hAnsi="Times New Roman"/>
          <w:sz w:val="24"/>
          <w:lang w:val="en-CA"/>
        </w:rPr>
        <w:t>and</w:t>
      </w:r>
      <w:r w:rsidRPr="00834294">
        <w:rPr>
          <w:rFonts w:ascii="Times New Roman" w:hAnsi="Times New Roman"/>
          <w:sz w:val="24"/>
          <w:lang w:val="en-CA"/>
        </w:rPr>
        <w:t xml:space="preserve"> costs.</w:t>
      </w:r>
    </w:p>
    <w:p w:rsidR="00241E40" w:rsidRDefault="00241E40" w:rsidP="00834294">
      <w:pPr>
        <w:rPr>
          <w:rFonts w:ascii="Times New Roman" w:hAnsi="Times New Roman"/>
          <w:sz w:val="24"/>
          <w:lang w:val="en-CA"/>
        </w:rPr>
      </w:pPr>
    </w:p>
    <w:tbl>
      <w:tblPr>
        <w:tblStyle w:val="TableGrid"/>
        <w:tblW w:w="0" w:type="auto"/>
        <w:tblLook w:val="04A0"/>
      </w:tblPr>
      <w:tblGrid>
        <w:gridCol w:w="4788"/>
        <w:gridCol w:w="4788"/>
      </w:tblGrid>
      <w:tr w:rsidR="00241E40" w:rsidTr="008830AC">
        <w:trPr>
          <w:tblHeader/>
        </w:trPr>
        <w:tc>
          <w:tcPr>
            <w:tcW w:w="4788" w:type="dxa"/>
          </w:tcPr>
          <w:p w:rsidR="00241E40" w:rsidRPr="001E0F8C" w:rsidRDefault="00241E40" w:rsidP="001E0F8C">
            <w:pPr>
              <w:jc w:val="center"/>
              <w:rPr>
                <w:rFonts w:ascii="Times New Roman" w:hAnsi="Times New Roman"/>
                <w:b/>
                <w:sz w:val="24"/>
                <w:lang w:val="en-CA"/>
              </w:rPr>
            </w:pPr>
            <w:r w:rsidRPr="001E0F8C">
              <w:rPr>
                <w:rFonts w:ascii="Times New Roman" w:hAnsi="Times New Roman"/>
                <w:b/>
                <w:sz w:val="24"/>
                <w:lang w:val="en-CA"/>
              </w:rPr>
              <w:t>Risks</w:t>
            </w:r>
          </w:p>
        </w:tc>
        <w:tc>
          <w:tcPr>
            <w:tcW w:w="4788" w:type="dxa"/>
          </w:tcPr>
          <w:p w:rsidR="00241E40" w:rsidRPr="001E0F8C" w:rsidRDefault="00241E40" w:rsidP="001E0F8C">
            <w:pPr>
              <w:jc w:val="center"/>
              <w:rPr>
                <w:rFonts w:ascii="Times New Roman" w:hAnsi="Times New Roman"/>
                <w:b/>
                <w:sz w:val="24"/>
                <w:lang w:val="en-CA"/>
              </w:rPr>
            </w:pPr>
            <w:r w:rsidRPr="001E0F8C">
              <w:rPr>
                <w:rFonts w:ascii="Times New Roman" w:hAnsi="Times New Roman"/>
                <w:b/>
                <w:sz w:val="24"/>
                <w:lang w:val="en-CA"/>
              </w:rPr>
              <w:t>Po</w:t>
            </w:r>
            <w:r>
              <w:rPr>
                <w:rFonts w:ascii="Times New Roman" w:hAnsi="Times New Roman"/>
                <w:b/>
                <w:sz w:val="24"/>
                <w:lang w:val="en-CA"/>
              </w:rPr>
              <w:t>ssible</w:t>
            </w:r>
            <w:r w:rsidRPr="001E0F8C">
              <w:rPr>
                <w:rFonts w:ascii="Times New Roman" w:hAnsi="Times New Roman"/>
                <w:b/>
                <w:sz w:val="24"/>
                <w:lang w:val="en-CA"/>
              </w:rPr>
              <w:t xml:space="preserve"> Mitigation Strategies</w:t>
            </w:r>
          </w:p>
        </w:tc>
      </w:tr>
      <w:tr w:rsidR="00241E40" w:rsidTr="00241E40">
        <w:tc>
          <w:tcPr>
            <w:tcW w:w="4788" w:type="dxa"/>
          </w:tcPr>
          <w:p w:rsidR="00241E40" w:rsidRDefault="005513EB" w:rsidP="005513EB">
            <w:pPr>
              <w:rPr>
                <w:rFonts w:ascii="Times New Roman" w:hAnsi="Times New Roman"/>
                <w:sz w:val="24"/>
                <w:lang w:val="en-CA"/>
              </w:rPr>
            </w:pPr>
            <w:r>
              <w:rPr>
                <w:rFonts w:ascii="Times New Roman" w:hAnsi="Times New Roman"/>
                <w:sz w:val="24"/>
                <w:szCs w:val="24"/>
              </w:rPr>
              <w:t xml:space="preserve">The team’s work schedule does not align with that of the </w:t>
            </w:r>
            <w:r w:rsidRPr="0040095C">
              <w:rPr>
                <w:rFonts w:ascii="Times New Roman" w:hAnsi="Times New Roman"/>
                <w:sz w:val="24"/>
                <w:szCs w:val="24"/>
              </w:rPr>
              <w:t xml:space="preserve">mid-life BLIERs </w:t>
            </w:r>
            <w:r>
              <w:rPr>
                <w:rFonts w:ascii="Times New Roman" w:hAnsi="Times New Roman"/>
                <w:sz w:val="24"/>
                <w:szCs w:val="24"/>
              </w:rPr>
              <w:t>and GHG Regulations discussions. (It is anticipated by the Government of Alberta that these d</w:t>
            </w:r>
            <w:r w:rsidR="0040095C" w:rsidRPr="0040095C">
              <w:rPr>
                <w:rFonts w:ascii="Times New Roman" w:hAnsi="Times New Roman"/>
                <w:sz w:val="24"/>
                <w:szCs w:val="24"/>
              </w:rPr>
              <w:t>iscussions wi</w:t>
            </w:r>
            <w:r>
              <w:rPr>
                <w:rFonts w:ascii="Times New Roman" w:hAnsi="Times New Roman"/>
                <w:sz w:val="24"/>
                <w:szCs w:val="24"/>
              </w:rPr>
              <w:t>ll conclude at the end of 2013.)</w:t>
            </w:r>
          </w:p>
        </w:tc>
        <w:tc>
          <w:tcPr>
            <w:tcW w:w="4788" w:type="dxa"/>
          </w:tcPr>
          <w:p w:rsidR="005513EB" w:rsidRDefault="005513EB" w:rsidP="005513EB">
            <w:pPr>
              <w:pStyle w:val="ListParagraph"/>
              <w:numPr>
                <w:ilvl w:val="0"/>
                <w:numId w:val="26"/>
              </w:numPr>
              <w:rPr>
                <w:rFonts w:ascii="Times New Roman" w:hAnsi="Times New Roman"/>
                <w:sz w:val="24"/>
                <w:lang w:val="en-CA"/>
              </w:rPr>
            </w:pPr>
            <w:r>
              <w:rPr>
                <w:rFonts w:ascii="Times New Roman" w:hAnsi="Times New Roman"/>
                <w:sz w:val="24"/>
                <w:lang w:val="en-CA"/>
              </w:rPr>
              <w:t>Focus on existing coal units first. (The GHG Regulation and mid-life BLIERs both apply only to existing coal units).</w:t>
            </w:r>
          </w:p>
          <w:p w:rsidR="00202C2F" w:rsidRPr="005513EB" w:rsidRDefault="005513EB" w:rsidP="00202C2F">
            <w:pPr>
              <w:pStyle w:val="ListParagraph"/>
              <w:numPr>
                <w:ilvl w:val="0"/>
                <w:numId w:val="26"/>
              </w:numPr>
              <w:rPr>
                <w:rFonts w:ascii="Times New Roman" w:hAnsi="Times New Roman"/>
                <w:sz w:val="24"/>
                <w:lang w:val="en-CA"/>
              </w:rPr>
            </w:pPr>
            <w:r>
              <w:rPr>
                <w:rFonts w:ascii="Times New Roman" w:hAnsi="Times New Roman"/>
                <w:sz w:val="24"/>
                <w:lang w:val="en-CA"/>
              </w:rPr>
              <w:t>Compress the anticipated work schedule.</w:t>
            </w:r>
          </w:p>
        </w:tc>
      </w:tr>
      <w:tr w:rsidR="002E4C36" w:rsidTr="0082698D">
        <w:tc>
          <w:tcPr>
            <w:tcW w:w="4788" w:type="dxa"/>
          </w:tcPr>
          <w:p w:rsidR="002E4C36" w:rsidRDefault="00E64550" w:rsidP="00E64550">
            <w:pPr>
              <w:rPr>
                <w:rFonts w:ascii="Times New Roman" w:hAnsi="Times New Roman"/>
                <w:sz w:val="24"/>
                <w:lang w:val="en-CA"/>
              </w:rPr>
            </w:pPr>
            <w:r>
              <w:rPr>
                <w:rFonts w:ascii="Times New Roman" w:hAnsi="Times New Roman"/>
                <w:sz w:val="24"/>
                <w:lang w:val="en-CA"/>
              </w:rPr>
              <w:t>M</w:t>
            </w:r>
            <w:r w:rsidR="002E4C36">
              <w:rPr>
                <w:rFonts w:ascii="Times New Roman" w:hAnsi="Times New Roman"/>
                <w:sz w:val="24"/>
                <w:lang w:val="en-CA"/>
              </w:rPr>
              <w:t xml:space="preserve">id-life BLIERs </w:t>
            </w:r>
            <w:r>
              <w:rPr>
                <w:rFonts w:ascii="Times New Roman" w:hAnsi="Times New Roman"/>
                <w:sz w:val="24"/>
                <w:lang w:val="en-CA"/>
              </w:rPr>
              <w:t>for existing coal units is required to</w:t>
            </w:r>
            <w:r w:rsidR="002E4C36">
              <w:rPr>
                <w:rFonts w:ascii="Times New Roman" w:hAnsi="Times New Roman"/>
                <w:sz w:val="24"/>
                <w:lang w:val="en-CA"/>
              </w:rPr>
              <w:t xml:space="preserve"> be impl</w:t>
            </w:r>
            <w:r>
              <w:rPr>
                <w:rFonts w:ascii="Times New Roman" w:hAnsi="Times New Roman"/>
                <w:sz w:val="24"/>
                <w:lang w:val="en-CA"/>
              </w:rPr>
              <w:t>emented in Alberta.</w:t>
            </w:r>
          </w:p>
        </w:tc>
        <w:tc>
          <w:tcPr>
            <w:tcW w:w="4788" w:type="dxa"/>
          </w:tcPr>
          <w:p w:rsidR="002E4C36" w:rsidRDefault="00E64550" w:rsidP="00E64550">
            <w:pPr>
              <w:pStyle w:val="ListParagraph"/>
              <w:numPr>
                <w:ilvl w:val="0"/>
                <w:numId w:val="27"/>
              </w:numPr>
              <w:rPr>
                <w:rFonts w:ascii="Times New Roman" w:hAnsi="Times New Roman"/>
                <w:sz w:val="24"/>
                <w:lang w:val="en-CA"/>
              </w:rPr>
            </w:pPr>
            <w:r>
              <w:rPr>
                <w:rFonts w:ascii="Times New Roman" w:hAnsi="Times New Roman"/>
                <w:sz w:val="24"/>
                <w:lang w:val="en-CA"/>
              </w:rPr>
              <w:t xml:space="preserve">Remain up-to-date on developments for mid-life </w:t>
            </w:r>
            <w:r w:rsidR="002E4C36" w:rsidRPr="00E64550">
              <w:rPr>
                <w:rFonts w:ascii="Times New Roman" w:hAnsi="Times New Roman"/>
                <w:sz w:val="24"/>
                <w:lang w:val="en-CA"/>
              </w:rPr>
              <w:t>BLIER</w:t>
            </w:r>
            <w:r>
              <w:rPr>
                <w:rFonts w:ascii="Times New Roman" w:hAnsi="Times New Roman"/>
                <w:sz w:val="24"/>
                <w:lang w:val="en-CA"/>
              </w:rPr>
              <w:t>s.</w:t>
            </w:r>
          </w:p>
          <w:p w:rsidR="00E64550" w:rsidRDefault="00E64550" w:rsidP="00E64550">
            <w:pPr>
              <w:pStyle w:val="ListParagraph"/>
              <w:numPr>
                <w:ilvl w:val="0"/>
                <w:numId w:val="27"/>
              </w:numPr>
              <w:rPr>
                <w:rFonts w:ascii="Times New Roman" w:hAnsi="Times New Roman"/>
                <w:sz w:val="24"/>
                <w:lang w:val="en-CA"/>
              </w:rPr>
            </w:pPr>
            <w:r>
              <w:rPr>
                <w:rFonts w:ascii="Times New Roman" w:hAnsi="Times New Roman"/>
                <w:sz w:val="24"/>
                <w:lang w:val="en-CA"/>
              </w:rPr>
              <w:t>Update the Electricity Working Group report (comparing the outcomes of the Framework and mid-life BLIERs).</w:t>
            </w:r>
          </w:p>
          <w:p w:rsidR="002E4C36" w:rsidRDefault="00E64550" w:rsidP="00E64550">
            <w:pPr>
              <w:pStyle w:val="ListParagraph"/>
              <w:numPr>
                <w:ilvl w:val="0"/>
                <w:numId w:val="27"/>
              </w:numPr>
              <w:rPr>
                <w:rFonts w:ascii="Times New Roman" w:hAnsi="Times New Roman"/>
                <w:sz w:val="24"/>
                <w:lang w:val="en-CA"/>
              </w:rPr>
            </w:pPr>
            <w:r>
              <w:rPr>
                <w:rFonts w:ascii="Times New Roman" w:hAnsi="Times New Roman"/>
                <w:sz w:val="24"/>
                <w:lang w:val="en-CA"/>
              </w:rPr>
              <w:t>Develop a contingency plan.</w:t>
            </w:r>
          </w:p>
        </w:tc>
      </w:tr>
      <w:tr w:rsidR="000C23C0" w:rsidTr="00241E40">
        <w:tc>
          <w:tcPr>
            <w:tcW w:w="4788" w:type="dxa"/>
          </w:tcPr>
          <w:p w:rsidR="000C23C0" w:rsidRDefault="00745FA4" w:rsidP="00AB6D47">
            <w:pPr>
              <w:rPr>
                <w:rFonts w:ascii="Times New Roman" w:hAnsi="Times New Roman"/>
                <w:sz w:val="24"/>
                <w:lang w:val="en-CA"/>
              </w:rPr>
            </w:pPr>
            <w:r>
              <w:rPr>
                <w:rFonts w:ascii="Times New Roman" w:hAnsi="Times New Roman"/>
                <w:sz w:val="24"/>
                <w:lang w:val="en-CA"/>
              </w:rPr>
              <w:t xml:space="preserve">Funding is </w:t>
            </w:r>
            <w:r w:rsidR="00AB6D47">
              <w:rPr>
                <w:rFonts w:ascii="Times New Roman" w:hAnsi="Times New Roman"/>
                <w:sz w:val="24"/>
                <w:lang w:val="en-CA"/>
              </w:rPr>
              <w:t xml:space="preserve">not </w:t>
            </w:r>
            <w:r>
              <w:rPr>
                <w:rFonts w:ascii="Times New Roman" w:hAnsi="Times New Roman"/>
                <w:sz w:val="24"/>
                <w:lang w:val="en-CA"/>
              </w:rPr>
              <w:t>sufficient or not timely</w:t>
            </w:r>
            <w:r w:rsidR="00E64550">
              <w:rPr>
                <w:rFonts w:ascii="Times New Roman" w:hAnsi="Times New Roman"/>
                <w:sz w:val="24"/>
                <w:lang w:val="en-CA"/>
              </w:rPr>
              <w:t>.</w:t>
            </w:r>
          </w:p>
        </w:tc>
        <w:tc>
          <w:tcPr>
            <w:tcW w:w="4788" w:type="dxa"/>
          </w:tcPr>
          <w:p w:rsidR="00E64550" w:rsidRDefault="00E64550" w:rsidP="00834294">
            <w:pPr>
              <w:pStyle w:val="ListParagraph"/>
              <w:numPr>
                <w:ilvl w:val="0"/>
                <w:numId w:val="28"/>
              </w:numPr>
              <w:rPr>
                <w:rFonts w:ascii="Times New Roman" w:hAnsi="Times New Roman"/>
                <w:sz w:val="24"/>
                <w:lang w:val="en-CA"/>
              </w:rPr>
            </w:pPr>
            <w:r>
              <w:rPr>
                <w:rFonts w:ascii="Times New Roman" w:hAnsi="Times New Roman"/>
                <w:sz w:val="24"/>
                <w:lang w:val="en-CA"/>
              </w:rPr>
              <w:t>B</w:t>
            </w:r>
            <w:r w:rsidR="000C23C0" w:rsidRPr="00E64550">
              <w:rPr>
                <w:rFonts w:ascii="Times New Roman" w:hAnsi="Times New Roman"/>
                <w:sz w:val="24"/>
                <w:lang w:val="en-CA"/>
              </w:rPr>
              <w:t xml:space="preserve">e </w:t>
            </w:r>
            <w:r>
              <w:rPr>
                <w:rFonts w:ascii="Times New Roman" w:hAnsi="Times New Roman"/>
                <w:sz w:val="24"/>
                <w:lang w:val="en-CA"/>
              </w:rPr>
              <w:t>clear</w:t>
            </w:r>
            <w:r w:rsidR="000C23C0" w:rsidRPr="00E64550">
              <w:rPr>
                <w:rFonts w:ascii="Times New Roman" w:hAnsi="Times New Roman"/>
                <w:sz w:val="24"/>
                <w:lang w:val="en-CA"/>
              </w:rPr>
              <w:t xml:space="preserve"> about funding requirements</w:t>
            </w:r>
            <w:r>
              <w:rPr>
                <w:rFonts w:ascii="Times New Roman" w:hAnsi="Times New Roman"/>
                <w:sz w:val="24"/>
                <w:lang w:val="en-CA"/>
              </w:rPr>
              <w:t>.</w:t>
            </w:r>
          </w:p>
          <w:p w:rsidR="000C23C0" w:rsidRPr="00E64550" w:rsidRDefault="00E64550" w:rsidP="00E64550">
            <w:pPr>
              <w:pStyle w:val="ListParagraph"/>
              <w:numPr>
                <w:ilvl w:val="0"/>
                <w:numId w:val="28"/>
              </w:numPr>
              <w:rPr>
                <w:rFonts w:ascii="Times New Roman" w:hAnsi="Times New Roman"/>
                <w:sz w:val="24"/>
                <w:lang w:val="en-CA"/>
              </w:rPr>
            </w:pPr>
            <w:r>
              <w:rPr>
                <w:rFonts w:ascii="Times New Roman" w:hAnsi="Times New Roman"/>
                <w:sz w:val="24"/>
                <w:lang w:val="en-CA"/>
              </w:rPr>
              <w:t>Be aware of h</w:t>
            </w:r>
            <w:r w:rsidR="000C23C0" w:rsidRPr="00E64550">
              <w:rPr>
                <w:rFonts w:ascii="Times New Roman" w:hAnsi="Times New Roman"/>
                <w:sz w:val="24"/>
                <w:lang w:val="en-CA"/>
              </w:rPr>
              <w:t>ow funding delays will impact timelines</w:t>
            </w:r>
            <w:r>
              <w:rPr>
                <w:rFonts w:ascii="Times New Roman" w:hAnsi="Times New Roman"/>
                <w:sz w:val="24"/>
                <w:lang w:val="en-CA"/>
              </w:rPr>
              <w:t xml:space="preserve"> and plan accordingly.</w:t>
            </w:r>
          </w:p>
        </w:tc>
      </w:tr>
      <w:tr w:rsidR="00BE24EA" w:rsidTr="0082698D">
        <w:tc>
          <w:tcPr>
            <w:tcW w:w="4788" w:type="dxa"/>
          </w:tcPr>
          <w:p w:rsidR="00BE24EA" w:rsidRDefault="00AB6D47" w:rsidP="0082698D">
            <w:pPr>
              <w:rPr>
                <w:rFonts w:ascii="Times New Roman" w:hAnsi="Times New Roman"/>
                <w:sz w:val="24"/>
                <w:lang w:val="en-CA"/>
              </w:rPr>
            </w:pPr>
            <w:r>
              <w:rPr>
                <w:rFonts w:ascii="Times New Roman" w:hAnsi="Times New Roman"/>
                <w:sz w:val="24"/>
                <w:lang w:val="en-CA"/>
              </w:rPr>
              <w:t>The work can not be completed in the required timeframe.</w:t>
            </w:r>
          </w:p>
        </w:tc>
        <w:tc>
          <w:tcPr>
            <w:tcW w:w="4788" w:type="dxa"/>
          </w:tcPr>
          <w:p w:rsidR="00AB6D47" w:rsidRDefault="00AB6D47" w:rsidP="0082698D">
            <w:pPr>
              <w:pStyle w:val="ListParagraph"/>
              <w:numPr>
                <w:ilvl w:val="0"/>
                <w:numId w:val="29"/>
              </w:numPr>
              <w:rPr>
                <w:rFonts w:ascii="Times New Roman" w:hAnsi="Times New Roman"/>
                <w:sz w:val="24"/>
                <w:lang w:val="en-CA"/>
              </w:rPr>
            </w:pPr>
            <w:r w:rsidRPr="00AB6D47">
              <w:rPr>
                <w:rFonts w:ascii="Times New Roman" w:hAnsi="Times New Roman"/>
                <w:sz w:val="24"/>
                <w:lang w:val="en-CA"/>
              </w:rPr>
              <w:t xml:space="preserve">Seek clarity from key stakeholders about their anticipated timeframes. </w:t>
            </w:r>
          </w:p>
          <w:p w:rsidR="00AB6D47" w:rsidRDefault="00AB6D47" w:rsidP="0082698D">
            <w:pPr>
              <w:pStyle w:val="ListParagraph"/>
              <w:numPr>
                <w:ilvl w:val="0"/>
                <w:numId w:val="29"/>
              </w:numPr>
              <w:rPr>
                <w:rFonts w:ascii="Times New Roman" w:hAnsi="Times New Roman"/>
                <w:sz w:val="24"/>
                <w:lang w:val="en-CA"/>
              </w:rPr>
            </w:pPr>
            <w:r>
              <w:rPr>
                <w:rFonts w:ascii="Times New Roman" w:hAnsi="Times New Roman"/>
                <w:sz w:val="24"/>
                <w:lang w:val="en-CA"/>
              </w:rPr>
              <w:t xml:space="preserve">Be prepared to </w:t>
            </w:r>
            <w:r w:rsidR="00BE24EA" w:rsidRPr="00AB6D47">
              <w:rPr>
                <w:rFonts w:ascii="Times New Roman" w:hAnsi="Times New Roman"/>
                <w:sz w:val="24"/>
                <w:lang w:val="en-CA"/>
              </w:rPr>
              <w:t>prioritiz</w:t>
            </w:r>
            <w:r>
              <w:rPr>
                <w:rFonts w:ascii="Times New Roman" w:hAnsi="Times New Roman"/>
                <w:sz w:val="24"/>
                <w:lang w:val="en-CA"/>
              </w:rPr>
              <w:t>e</w:t>
            </w:r>
            <w:r w:rsidR="00BE24EA" w:rsidRPr="00AB6D47">
              <w:rPr>
                <w:rFonts w:ascii="Times New Roman" w:hAnsi="Times New Roman"/>
                <w:sz w:val="24"/>
                <w:lang w:val="en-CA"/>
              </w:rPr>
              <w:t xml:space="preserve"> </w:t>
            </w:r>
            <w:r>
              <w:rPr>
                <w:rFonts w:ascii="Times New Roman" w:hAnsi="Times New Roman"/>
                <w:sz w:val="24"/>
                <w:lang w:val="en-CA"/>
              </w:rPr>
              <w:t xml:space="preserve">objectives and tasks. </w:t>
            </w:r>
          </w:p>
          <w:p w:rsidR="00AB6D47" w:rsidRDefault="00AB6D47" w:rsidP="00AB6D47">
            <w:pPr>
              <w:pStyle w:val="ListParagraph"/>
              <w:numPr>
                <w:ilvl w:val="0"/>
                <w:numId w:val="29"/>
              </w:numPr>
              <w:rPr>
                <w:rFonts w:ascii="Times New Roman" w:hAnsi="Times New Roman"/>
                <w:sz w:val="24"/>
                <w:lang w:val="en-CA"/>
              </w:rPr>
            </w:pPr>
            <w:r>
              <w:rPr>
                <w:rFonts w:ascii="Times New Roman" w:hAnsi="Times New Roman"/>
                <w:sz w:val="24"/>
                <w:lang w:val="en-CA"/>
              </w:rPr>
              <w:t xml:space="preserve">Explore the possibility of </w:t>
            </w:r>
            <w:r w:rsidRPr="00AB6D47">
              <w:rPr>
                <w:rFonts w:ascii="Times New Roman" w:hAnsi="Times New Roman"/>
                <w:sz w:val="24"/>
                <w:lang w:val="en-CA"/>
              </w:rPr>
              <w:t>updat</w:t>
            </w:r>
            <w:r>
              <w:rPr>
                <w:rFonts w:ascii="Times New Roman" w:hAnsi="Times New Roman"/>
                <w:sz w:val="24"/>
                <w:lang w:val="en-CA"/>
              </w:rPr>
              <w:t xml:space="preserve">ing previous </w:t>
            </w:r>
            <w:r w:rsidRPr="00AB6D47">
              <w:rPr>
                <w:rFonts w:ascii="Times New Roman" w:hAnsi="Times New Roman"/>
                <w:sz w:val="24"/>
                <w:lang w:val="en-CA"/>
              </w:rPr>
              <w:t>re</w:t>
            </w:r>
            <w:r w:rsidR="00BE24EA" w:rsidRPr="00AB6D47">
              <w:rPr>
                <w:rFonts w:ascii="Times New Roman" w:hAnsi="Times New Roman"/>
                <w:sz w:val="24"/>
                <w:lang w:val="en-CA"/>
              </w:rPr>
              <w:t xml:space="preserve">ports rather than </w:t>
            </w:r>
            <w:r>
              <w:rPr>
                <w:rFonts w:ascii="Times New Roman" w:hAnsi="Times New Roman"/>
                <w:sz w:val="24"/>
                <w:lang w:val="en-CA"/>
              </w:rPr>
              <w:t>starting over.</w:t>
            </w:r>
          </w:p>
          <w:p w:rsidR="00BE24EA" w:rsidRDefault="00AB6D47" w:rsidP="004C21F1">
            <w:pPr>
              <w:pStyle w:val="ListParagraph"/>
              <w:numPr>
                <w:ilvl w:val="0"/>
                <w:numId w:val="29"/>
              </w:numPr>
              <w:rPr>
                <w:rFonts w:ascii="Times New Roman" w:hAnsi="Times New Roman"/>
                <w:sz w:val="24"/>
                <w:lang w:val="en-CA"/>
              </w:rPr>
            </w:pPr>
            <w:r>
              <w:rPr>
                <w:rFonts w:ascii="Times New Roman" w:hAnsi="Times New Roman"/>
                <w:sz w:val="24"/>
                <w:lang w:val="en-CA"/>
              </w:rPr>
              <w:t xml:space="preserve">Be aware that timely completion of the project is heavily reliant on some preliminary </w:t>
            </w:r>
            <w:r w:rsidR="004C21F1">
              <w:rPr>
                <w:rFonts w:ascii="Times New Roman" w:hAnsi="Times New Roman"/>
                <w:sz w:val="24"/>
                <w:lang w:val="en-CA"/>
              </w:rPr>
              <w:t>information gathering</w:t>
            </w:r>
            <w:r>
              <w:rPr>
                <w:rFonts w:ascii="Times New Roman" w:hAnsi="Times New Roman"/>
                <w:sz w:val="24"/>
                <w:lang w:val="en-CA"/>
              </w:rPr>
              <w:t>. This work should be started as soon as possible.</w:t>
            </w:r>
          </w:p>
          <w:p w:rsidR="004C21F1" w:rsidRDefault="004C21F1" w:rsidP="004C21F1">
            <w:pPr>
              <w:pStyle w:val="ListParagraph"/>
              <w:ind w:left="360"/>
              <w:rPr>
                <w:rFonts w:ascii="Times New Roman" w:hAnsi="Times New Roman"/>
                <w:sz w:val="24"/>
                <w:lang w:val="en-CA"/>
              </w:rPr>
            </w:pPr>
          </w:p>
        </w:tc>
      </w:tr>
      <w:tr w:rsidR="002E4C36" w:rsidTr="0082698D">
        <w:tc>
          <w:tcPr>
            <w:tcW w:w="4788" w:type="dxa"/>
          </w:tcPr>
          <w:p w:rsidR="002E4C36" w:rsidRDefault="00AB6D47" w:rsidP="00245CDC">
            <w:pPr>
              <w:rPr>
                <w:rFonts w:ascii="Times New Roman" w:hAnsi="Times New Roman"/>
                <w:sz w:val="24"/>
                <w:lang w:val="en-CA"/>
              </w:rPr>
            </w:pPr>
            <w:r>
              <w:rPr>
                <w:rFonts w:ascii="Times New Roman" w:hAnsi="Times New Roman"/>
                <w:sz w:val="24"/>
                <w:lang w:val="en-CA"/>
              </w:rPr>
              <w:lastRenderedPageBreak/>
              <w:t>The schedule of Board of Directors meetings causes delays.</w:t>
            </w:r>
          </w:p>
        </w:tc>
        <w:tc>
          <w:tcPr>
            <w:tcW w:w="4788" w:type="dxa"/>
          </w:tcPr>
          <w:p w:rsidR="002E4C36" w:rsidRPr="00AB6D47" w:rsidRDefault="00AB6D47" w:rsidP="00AB6D47">
            <w:pPr>
              <w:pStyle w:val="ListParagraph"/>
              <w:numPr>
                <w:ilvl w:val="0"/>
                <w:numId w:val="30"/>
              </w:numPr>
              <w:rPr>
                <w:rFonts w:ascii="Times New Roman" w:hAnsi="Times New Roman"/>
                <w:sz w:val="24"/>
                <w:lang w:val="en-CA"/>
              </w:rPr>
            </w:pPr>
            <w:r>
              <w:rPr>
                <w:rFonts w:ascii="Times New Roman" w:hAnsi="Times New Roman"/>
                <w:sz w:val="24"/>
                <w:lang w:val="en-CA"/>
              </w:rPr>
              <w:t xml:space="preserve">Seek </w:t>
            </w:r>
            <w:r w:rsidR="00293E9E">
              <w:rPr>
                <w:rFonts w:ascii="Times New Roman" w:hAnsi="Times New Roman"/>
                <w:sz w:val="24"/>
                <w:lang w:val="en-CA"/>
              </w:rPr>
              <w:t>Executive C</w:t>
            </w:r>
            <w:r w:rsidR="002E4C36" w:rsidRPr="00AB6D47">
              <w:rPr>
                <w:rFonts w:ascii="Times New Roman" w:hAnsi="Times New Roman"/>
                <w:sz w:val="24"/>
                <w:lang w:val="en-CA"/>
              </w:rPr>
              <w:t xml:space="preserve">ommittee </w:t>
            </w:r>
            <w:r w:rsidR="00293E9E">
              <w:rPr>
                <w:rFonts w:ascii="Times New Roman" w:hAnsi="Times New Roman"/>
                <w:sz w:val="24"/>
                <w:lang w:val="en-CA"/>
              </w:rPr>
              <w:t xml:space="preserve">input </w:t>
            </w:r>
            <w:r>
              <w:rPr>
                <w:rFonts w:ascii="Times New Roman" w:hAnsi="Times New Roman"/>
                <w:sz w:val="24"/>
                <w:lang w:val="en-CA"/>
              </w:rPr>
              <w:t>when appropriate.</w:t>
            </w:r>
          </w:p>
        </w:tc>
      </w:tr>
      <w:tr w:rsidR="00BE24EA" w:rsidTr="0082698D">
        <w:tc>
          <w:tcPr>
            <w:tcW w:w="4788" w:type="dxa"/>
          </w:tcPr>
          <w:p w:rsidR="00BE24EA" w:rsidRDefault="00AB6D47" w:rsidP="00AB6D47">
            <w:pPr>
              <w:rPr>
                <w:rFonts w:ascii="Times New Roman" w:hAnsi="Times New Roman"/>
                <w:sz w:val="24"/>
                <w:lang w:val="en-CA"/>
              </w:rPr>
            </w:pPr>
            <w:r>
              <w:rPr>
                <w:rFonts w:ascii="Times New Roman" w:hAnsi="Times New Roman"/>
                <w:sz w:val="24"/>
                <w:lang w:val="en-CA"/>
              </w:rPr>
              <w:t>CASA Secretariat and/or CASA stakeholders do not have the capacity (</w:t>
            </w:r>
            <w:r w:rsidR="004C21F1">
              <w:rPr>
                <w:rFonts w:ascii="Times New Roman" w:hAnsi="Times New Roman"/>
                <w:sz w:val="24"/>
                <w:lang w:val="en-CA"/>
              </w:rPr>
              <w:t xml:space="preserve">i.e. </w:t>
            </w:r>
            <w:r>
              <w:rPr>
                <w:rFonts w:ascii="Times New Roman" w:hAnsi="Times New Roman"/>
                <w:sz w:val="24"/>
                <w:lang w:val="en-CA"/>
              </w:rPr>
              <w:t>h</w:t>
            </w:r>
            <w:r w:rsidR="00BE24EA">
              <w:rPr>
                <w:rFonts w:ascii="Times New Roman" w:hAnsi="Times New Roman"/>
                <w:sz w:val="24"/>
                <w:lang w:val="en-CA"/>
              </w:rPr>
              <w:t xml:space="preserve">uman </w:t>
            </w:r>
            <w:r>
              <w:rPr>
                <w:rFonts w:ascii="Times New Roman" w:hAnsi="Times New Roman"/>
                <w:sz w:val="24"/>
                <w:lang w:val="en-CA"/>
              </w:rPr>
              <w:t>r</w:t>
            </w:r>
            <w:r w:rsidR="00BE24EA">
              <w:rPr>
                <w:rFonts w:ascii="Times New Roman" w:hAnsi="Times New Roman"/>
                <w:sz w:val="24"/>
                <w:lang w:val="en-CA"/>
              </w:rPr>
              <w:t>esources</w:t>
            </w:r>
            <w:r>
              <w:rPr>
                <w:rFonts w:ascii="Times New Roman" w:hAnsi="Times New Roman"/>
                <w:sz w:val="24"/>
                <w:lang w:val="en-CA"/>
              </w:rPr>
              <w:t xml:space="preserve">) to participate effectively. </w:t>
            </w:r>
          </w:p>
        </w:tc>
        <w:tc>
          <w:tcPr>
            <w:tcW w:w="4788" w:type="dxa"/>
          </w:tcPr>
          <w:p w:rsidR="00BE24EA" w:rsidRDefault="00AB6D47" w:rsidP="0082698D">
            <w:pPr>
              <w:pStyle w:val="ListParagraph"/>
              <w:numPr>
                <w:ilvl w:val="0"/>
                <w:numId w:val="29"/>
              </w:numPr>
              <w:rPr>
                <w:rFonts w:ascii="Times New Roman" w:hAnsi="Times New Roman"/>
                <w:sz w:val="24"/>
                <w:lang w:val="en-CA"/>
              </w:rPr>
            </w:pPr>
            <w:r>
              <w:rPr>
                <w:rFonts w:ascii="Times New Roman" w:hAnsi="Times New Roman"/>
                <w:sz w:val="24"/>
                <w:lang w:val="en-CA"/>
              </w:rPr>
              <w:t xml:space="preserve">Be prepared to </w:t>
            </w:r>
            <w:r w:rsidRPr="00AB6D47">
              <w:rPr>
                <w:rFonts w:ascii="Times New Roman" w:hAnsi="Times New Roman"/>
                <w:sz w:val="24"/>
                <w:lang w:val="en-CA"/>
              </w:rPr>
              <w:t>prioritiz</w:t>
            </w:r>
            <w:r>
              <w:rPr>
                <w:rFonts w:ascii="Times New Roman" w:hAnsi="Times New Roman"/>
                <w:sz w:val="24"/>
                <w:lang w:val="en-CA"/>
              </w:rPr>
              <w:t>e</w:t>
            </w:r>
            <w:r w:rsidRPr="00AB6D47">
              <w:rPr>
                <w:rFonts w:ascii="Times New Roman" w:hAnsi="Times New Roman"/>
                <w:sz w:val="24"/>
                <w:lang w:val="en-CA"/>
              </w:rPr>
              <w:t xml:space="preserve"> </w:t>
            </w:r>
            <w:r>
              <w:rPr>
                <w:rFonts w:ascii="Times New Roman" w:hAnsi="Times New Roman"/>
                <w:sz w:val="24"/>
                <w:lang w:val="en-CA"/>
              </w:rPr>
              <w:t xml:space="preserve">objectives and tasks. </w:t>
            </w:r>
          </w:p>
          <w:p w:rsidR="00AB6D47" w:rsidRPr="00AB6D47" w:rsidRDefault="00AB6D47" w:rsidP="00AB6D47">
            <w:pPr>
              <w:pStyle w:val="ListParagraph"/>
              <w:numPr>
                <w:ilvl w:val="0"/>
                <w:numId w:val="29"/>
              </w:numPr>
              <w:rPr>
                <w:rFonts w:ascii="Times New Roman" w:hAnsi="Times New Roman"/>
                <w:sz w:val="24"/>
                <w:lang w:val="en-CA"/>
              </w:rPr>
            </w:pPr>
            <w:r>
              <w:rPr>
                <w:rFonts w:ascii="Times New Roman" w:hAnsi="Times New Roman"/>
                <w:sz w:val="24"/>
                <w:lang w:val="en-CA"/>
              </w:rPr>
              <w:t>Consider that key tasks may happen sequentially, rather than in parallel.</w:t>
            </w:r>
          </w:p>
        </w:tc>
      </w:tr>
      <w:tr w:rsidR="00745FA4" w:rsidTr="00241E40">
        <w:tc>
          <w:tcPr>
            <w:tcW w:w="4788" w:type="dxa"/>
          </w:tcPr>
          <w:p w:rsidR="00745FA4" w:rsidRDefault="005D7231" w:rsidP="005D7231">
            <w:pPr>
              <w:rPr>
                <w:rFonts w:ascii="Times New Roman" w:hAnsi="Times New Roman"/>
                <w:sz w:val="24"/>
                <w:lang w:val="en-CA"/>
              </w:rPr>
            </w:pPr>
            <w:r>
              <w:rPr>
                <w:rFonts w:ascii="Times New Roman" w:hAnsi="Times New Roman"/>
                <w:sz w:val="24"/>
                <w:lang w:val="en-CA"/>
              </w:rPr>
              <w:t>Consultant contracts take longer than anticipated and/or reaching ag</w:t>
            </w:r>
            <w:r w:rsidR="002E4C36">
              <w:rPr>
                <w:rFonts w:ascii="Times New Roman" w:hAnsi="Times New Roman"/>
                <w:sz w:val="24"/>
                <w:lang w:val="en-CA"/>
              </w:rPr>
              <w:t>reement on consultant reports</w:t>
            </w:r>
            <w:r>
              <w:rPr>
                <w:rFonts w:ascii="Times New Roman" w:hAnsi="Times New Roman"/>
                <w:sz w:val="24"/>
                <w:lang w:val="en-CA"/>
              </w:rPr>
              <w:t xml:space="preserve"> is difficult.</w:t>
            </w:r>
          </w:p>
        </w:tc>
        <w:tc>
          <w:tcPr>
            <w:tcW w:w="4788" w:type="dxa"/>
          </w:tcPr>
          <w:p w:rsidR="00745FA4" w:rsidRDefault="005D7231" w:rsidP="005D7231">
            <w:pPr>
              <w:pStyle w:val="ListParagraph"/>
              <w:numPr>
                <w:ilvl w:val="0"/>
                <w:numId w:val="31"/>
              </w:numPr>
              <w:rPr>
                <w:rFonts w:ascii="Times New Roman" w:hAnsi="Times New Roman"/>
                <w:sz w:val="24"/>
                <w:lang w:val="en-CA"/>
              </w:rPr>
            </w:pPr>
            <w:r>
              <w:rPr>
                <w:rFonts w:ascii="Times New Roman" w:hAnsi="Times New Roman"/>
                <w:sz w:val="24"/>
                <w:lang w:val="en-CA"/>
              </w:rPr>
              <w:t>Ensure that Terms of Reference for consultants provide clarity and have a high level of endorsement from team members.</w:t>
            </w:r>
          </w:p>
          <w:p w:rsidR="005D7231" w:rsidRPr="005D7231" w:rsidRDefault="005D7231" w:rsidP="005D7231">
            <w:pPr>
              <w:pStyle w:val="ListParagraph"/>
              <w:numPr>
                <w:ilvl w:val="0"/>
                <w:numId w:val="31"/>
              </w:numPr>
              <w:rPr>
                <w:rFonts w:ascii="Times New Roman" w:hAnsi="Times New Roman"/>
                <w:sz w:val="24"/>
                <w:lang w:val="en-CA"/>
              </w:rPr>
            </w:pPr>
            <w:r>
              <w:rPr>
                <w:rFonts w:ascii="Times New Roman" w:hAnsi="Times New Roman"/>
                <w:sz w:val="24"/>
                <w:lang w:val="en-CA"/>
              </w:rPr>
              <w:t>Consider consultant reports as one input into the final decision.</w:t>
            </w:r>
          </w:p>
        </w:tc>
      </w:tr>
      <w:tr w:rsidR="00745FA4" w:rsidTr="00241E40">
        <w:tc>
          <w:tcPr>
            <w:tcW w:w="4788" w:type="dxa"/>
          </w:tcPr>
          <w:p w:rsidR="00745FA4" w:rsidRDefault="005D7231" w:rsidP="00834294">
            <w:pPr>
              <w:rPr>
                <w:rFonts w:ascii="Times New Roman" w:hAnsi="Times New Roman"/>
                <w:sz w:val="24"/>
                <w:lang w:val="en-CA"/>
              </w:rPr>
            </w:pPr>
            <w:r>
              <w:rPr>
                <w:rFonts w:ascii="Times New Roman" w:hAnsi="Times New Roman"/>
                <w:sz w:val="24"/>
                <w:lang w:val="en-CA"/>
              </w:rPr>
              <w:t xml:space="preserve">Key stakeholders are not engaged until late in the process. </w:t>
            </w:r>
          </w:p>
        </w:tc>
        <w:tc>
          <w:tcPr>
            <w:tcW w:w="4788" w:type="dxa"/>
          </w:tcPr>
          <w:p w:rsidR="008D2DFD" w:rsidRDefault="008D2DFD" w:rsidP="005D7231">
            <w:pPr>
              <w:pStyle w:val="ListParagraph"/>
              <w:numPr>
                <w:ilvl w:val="0"/>
                <w:numId w:val="32"/>
              </w:numPr>
              <w:rPr>
                <w:rFonts w:ascii="Times New Roman" w:hAnsi="Times New Roman"/>
                <w:sz w:val="24"/>
                <w:lang w:val="en-CA"/>
              </w:rPr>
            </w:pPr>
            <w:r>
              <w:rPr>
                <w:rFonts w:ascii="Times New Roman" w:hAnsi="Times New Roman"/>
                <w:sz w:val="24"/>
                <w:lang w:val="en-CA"/>
              </w:rPr>
              <w:t xml:space="preserve">Identify all interested parties, including those that have a vital interest in electricity generation. </w:t>
            </w:r>
          </w:p>
          <w:p w:rsidR="00745FA4" w:rsidRPr="005D7231" w:rsidRDefault="005D7231" w:rsidP="008D2DFD">
            <w:pPr>
              <w:pStyle w:val="ListParagraph"/>
              <w:numPr>
                <w:ilvl w:val="0"/>
                <w:numId w:val="32"/>
              </w:numPr>
              <w:rPr>
                <w:rFonts w:ascii="Times New Roman" w:hAnsi="Times New Roman"/>
                <w:sz w:val="24"/>
                <w:lang w:val="en-CA"/>
              </w:rPr>
            </w:pPr>
            <w:r>
              <w:rPr>
                <w:rFonts w:ascii="Times New Roman" w:hAnsi="Times New Roman"/>
                <w:sz w:val="24"/>
                <w:lang w:val="en-CA"/>
              </w:rPr>
              <w:t>Ensure all interested parties understand the options available to be engaged, including active participation if they have a vital interest in electricity generation.</w:t>
            </w:r>
          </w:p>
        </w:tc>
      </w:tr>
      <w:tr w:rsidR="00C05962" w:rsidTr="0082698D">
        <w:tc>
          <w:tcPr>
            <w:tcW w:w="4788" w:type="dxa"/>
          </w:tcPr>
          <w:p w:rsidR="00C05962" w:rsidRDefault="00C05962" w:rsidP="00510DDB">
            <w:pPr>
              <w:rPr>
                <w:rFonts w:ascii="Times New Roman" w:hAnsi="Times New Roman"/>
                <w:sz w:val="24"/>
                <w:lang w:val="en-CA"/>
              </w:rPr>
            </w:pPr>
            <w:r>
              <w:rPr>
                <w:rFonts w:ascii="Times New Roman" w:hAnsi="Times New Roman"/>
                <w:sz w:val="24"/>
                <w:lang w:val="en-CA"/>
              </w:rPr>
              <w:t>Information gathered does not contribute to reaching a final agreement.</w:t>
            </w:r>
          </w:p>
        </w:tc>
        <w:tc>
          <w:tcPr>
            <w:tcW w:w="4788" w:type="dxa"/>
          </w:tcPr>
          <w:p w:rsidR="00C05962" w:rsidRDefault="00510DDB" w:rsidP="00510DDB">
            <w:pPr>
              <w:pStyle w:val="ListParagraph"/>
              <w:numPr>
                <w:ilvl w:val="0"/>
                <w:numId w:val="33"/>
              </w:numPr>
              <w:rPr>
                <w:rFonts w:ascii="Times New Roman" w:hAnsi="Times New Roman"/>
                <w:sz w:val="24"/>
                <w:lang w:val="en-CA"/>
              </w:rPr>
            </w:pPr>
            <w:r>
              <w:rPr>
                <w:rFonts w:ascii="Times New Roman" w:hAnsi="Times New Roman"/>
                <w:sz w:val="24"/>
                <w:lang w:val="en-CA"/>
              </w:rPr>
              <w:t>C</w:t>
            </w:r>
            <w:r w:rsidR="00C05962" w:rsidRPr="00510DDB">
              <w:rPr>
                <w:rFonts w:ascii="Times New Roman" w:hAnsi="Times New Roman"/>
                <w:sz w:val="24"/>
                <w:lang w:val="en-CA"/>
              </w:rPr>
              <w:t>onsider how the information gather</w:t>
            </w:r>
            <w:r>
              <w:rPr>
                <w:rFonts w:ascii="Times New Roman" w:hAnsi="Times New Roman"/>
                <w:sz w:val="24"/>
                <w:lang w:val="en-CA"/>
              </w:rPr>
              <w:t>ed</w:t>
            </w:r>
            <w:r w:rsidR="00C05962" w:rsidRPr="00510DDB">
              <w:rPr>
                <w:rFonts w:ascii="Times New Roman" w:hAnsi="Times New Roman"/>
                <w:sz w:val="24"/>
                <w:lang w:val="en-CA"/>
              </w:rPr>
              <w:t xml:space="preserve"> will be used</w:t>
            </w:r>
            <w:r>
              <w:rPr>
                <w:rFonts w:ascii="Times New Roman" w:hAnsi="Times New Roman"/>
                <w:sz w:val="24"/>
                <w:lang w:val="en-CA"/>
              </w:rPr>
              <w:t>.</w:t>
            </w:r>
          </w:p>
          <w:p w:rsidR="00510DDB" w:rsidRPr="00510DDB" w:rsidRDefault="00510DDB" w:rsidP="00510DDB">
            <w:pPr>
              <w:pStyle w:val="ListParagraph"/>
              <w:numPr>
                <w:ilvl w:val="0"/>
                <w:numId w:val="33"/>
              </w:numPr>
              <w:rPr>
                <w:rFonts w:ascii="Times New Roman" w:hAnsi="Times New Roman"/>
                <w:sz w:val="24"/>
                <w:lang w:val="en-CA"/>
              </w:rPr>
            </w:pPr>
            <w:r>
              <w:rPr>
                <w:rFonts w:ascii="Times New Roman" w:hAnsi="Times New Roman"/>
                <w:sz w:val="24"/>
                <w:lang w:val="en-CA"/>
              </w:rPr>
              <w:t>Ensure that Terms of Reference for consultants are clear.</w:t>
            </w:r>
          </w:p>
        </w:tc>
      </w:tr>
      <w:tr w:rsidR="00745FA4" w:rsidTr="00241E40">
        <w:tc>
          <w:tcPr>
            <w:tcW w:w="4788" w:type="dxa"/>
          </w:tcPr>
          <w:p w:rsidR="00745FA4" w:rsidRDefault="00510DDB" w:rsidP="00510DDB">
            <w:pPr>
              <w:rPr>
                <w:rFonts w:ascii="Times New Roman" w:hAnsi="Times New Roman"/>
                <w:sz w:val="24"/>
                <w:lang w:val="en-CA"/>
              </w:rPr>
            </w:pPr>
            <w:r>
              <w:rPr>
                <w:rFonts w:ascii="Times New Roman" w:hAnsi="Times New Roman"/>
                <w:sz w:val="24"/>
                <w:lang w:val="en-CA"/>
              </w:rPr>
              <w:t>Updates to the</w:t>
            </w:r>
            <w:r w:rsidR="00745FA4">
              <w:rPr>
                <w:rFonts w:ascii="Times New Roman" w:hAnsi="Times New Roman"/>
                <w:sz w:val="24"/>
                <w:lang w:val="en-CA"/>
              </w:rPr>
              <w:t xml:space="preserve"> </w:t>
            </w:r>
            <w:r>
              <w:rPr>
                <w:rFonts w:ascii="Times New Roman" w:hAnsi="Times New Roman"/>
                <w:sz w:val="24"/>
                <w:lang w:val="en-CA"/>
              </w:rPr>
              <w:t>F</w:t>
            </w:r>
            <w:r w:rsidR="00745FA4">
              <w:rPr>
                <w:rFonts w:ascii="Times New Roman" w:hAnsi="Times New Roman"/>
                <w:sz w:val="24"/>
                <w:lang w:val="en-CA"/>
              </w:rPr>
              <w:t xml:space="preserve">ramework </w:t>
            </w:r>
            <w:r>
              <w:rPr>
                <w:rFonts w:ascii="Times New Roman" w:hAnsi="Times New Roman"/>
                <w:sz w:val="24"/>
                <w:lang w:val="en-CA"/>
              </w:rPr>
              <w:t xml:space="preserve">misalign with initiatives on water and/or the </w:t>
            </w:r>
            <w:r w:rsidR="00745FA4">
              <w:rPr>
                <w:rFonts w:ascii="Times New Roman" w:hAnsi="Times New Roman"/>
                <w:sz w:val="24"/>
                <w:lang w:val="en-CA"/>
              </w:rPr>
              <w:t>L</w:t>
            </w:r>
            <w:r>
              <w:rPr>
                <w:rFonts w:ascii="Times New Roman" w:hAnsi="Times New Roman"/>
                <w:sz w:val="24"/>
                <w:lang w:val="en-CA"/>
              </w:rPr>
              <w:t xml:space="preserve">and </w:t>
            </w:r>
            <w:r w:rsidR="00745FA4">
              <w:rPr>
                <w:rFonts w:ascii="Times New Roman" w:hAnsi="Times New Roman"/>
                <w:sz w:val="24"/>
                <w:lang w:val="en-CA"/>
              </w:rPr>
              <w:t>U</w:t>
            </w:r>
            <w:r>
              <w:rPr>
                <w:rFonts w:ascii="Times New Roman" w:hAnsi="Times New Roman"/>
                <w:sz w:val="24"/>
                <w:lang w:val="en-CA"/>
              </w:rPr>
              <w:t xml:space="preserve">se </w:t>
            </w:r>
            <w:r w:rsidR="00745FA4">
              <w:rPr>
                <w:rFonts w:ascii="Times New Roman" w:hAnsi="Times New Roman"/>
                <w:sz w:val="24"/>
                <w:lang w:val="en-CA"/>
              </w:rPr>
              <w:t>F</w:t>
            </w:r>
            <w:r>
              <w:rPr>
                <w:rFonts w:ascii="Times New Roman" w:hAnsi="Times New Roman"/>
                <w:sz w:val="24"/>
                <w:lang w:val="en-CA"/>
              </w:rPr>
              <w:t>ramework and regional plans.</w:t>
            </w:r>
          </w:p>
        </w:tc>
        <w:tc>
          <w:tcPr>
            <w:tcW w:w="4788" w:type="dxa"/>
          </w:tcPr>
          <w:p w:rsidR="00510DDB" w:rsidRDefault="00510DDB" w:rsidP="00510DDB">
            <w:pPr>
              <w:pStyle w:val="ListParagraph"/>
              <w:numPr>
                <w:ilvl w:val="0"/>
                <w:numId w:val="27"/>
              </w:numPr>
              <w:rPr>
                <w:rFonts w:ascii="Times New Roman" w:hAnsi="Times New Roman"/>
                <w:sz w:val="24"/>
                <w:lang w:val="en-CA"/>
              </w:rPr>
            </w:pPr>
            <w:r>
              <w:rPr>
                <w:rFonts w:ascii="Times New Roman" w:hAnsi="Times New Roman"/>
                <w:sz w:val="24"/>
                <w:lang w:val="en-CA"/>
              </w:rPr>
              <w:t>Remain up-to-date on developments in related initiatives.</w:t>
            </w:r>
          </w:p>
          <w:p w:rsidR="00745FA4" w:rsidRDefault="00745FA4" w:rsidP="00834294">
            <w:pPr>
              <w:rPr>
                <w:rFonts w:ascii="Times New Roman" w:hAnsi="Times New Roman"/>
                <w:sz w:val="24"/>
                <w:lang w:val="en-CA"/>
              </w:rPr>
            </w:pPr>
          </w:p>
        </w:tc>
      </w:tr>
      <w:tr w:rsidR="00745FA4" w:rsidTr="00241E40">
        <w:tc>
          <w:tcPr>
            <w:tcW w:w="4788" w:type="dxa"/>
          </w:tcPr>
          <w:p w:rsidR="00745FA4" w:rsidRPr="008736E8" w:rsidRDefault="00510DDB" w:rsidP="00510DDB">
            <w:pPr>
              <w:rPr>
                <w:rFonts w:ascii="Times New Roman" w:hAnsi="Times New Roman"/>
                <w:sz w:val="24"/>
                <w:lang w:val="en-CA"/>
              </w:rPr>
            </w:pPr>
            <w:r w:rsidRPr="008736E8">
              <w:rPr>
                <w:rFonts w:ascii="Times New Roman" w:hAnsi="Times New Roman"/>
                <w:sz w:val="24"/>
                <w:lang w:val="en-CA"/>
              </w:rPr>
              <w:t>F</w:t>
            </w:r>
            <w:r w:rsidR="00745FA4" w:rsidRPr="008736E8">
              <w:rPr>
                <w:rFonts w:ascii="Times New Roman" w:hAnsi="Times New Roman"/>
                <w:sz w:val="24"/>
                <w:lang w:val="en-CA"/>
              </w:rPr>
              <w:t xml:space="preserve">ramework </w:t>
            </w:r>
            <w:r w:rsidRPr="008736E8">
              <w:rPr>
                <w:rFonts w:ascii="Times New Roman" w:hAnsi="Times New Roman"/>
                <w:sz w:val="24"/>
                <w:lang w:val="en-CA"/>
              </w:rPr>
              <w:t xml:space="preserve">updates/revisions </w:t>
            </w:r>
            <w:r w:rsidR="00745FA4" w:rsidRPr="008736E8">
              <w:rPr>
                <w:rFonts w:ascii="Times New Roman" w:hAnsi="Times New Roman"/>
                <w:sz w:val="24"/>
                <w:lang w:val="en-CA"/>
              </w:rPr>
              <w:t>do not offer equivalent or better environmental outcomes</w:t>
            </w:r>
            <w:r w:rsidR="002E4C36" w:rsidRPr="008736E8">
              <w:rPr>
                <w:rFonts w:ascii="Times New Roman" w:hAnsi="Times New Roman"/>
                <w:sz w:val="24"/>
                <w:lang w:val="en-CA"/>
              </w:rPr>
              <w:t xml:space="preserve"> than mid-life BLIERs.</w:t>
            </w:r>
          </w:p>
        </w:tc>
        <w:tc>
          <w:tcPr>
            <w:tcW w:w="4788" w:type="dxa"/>
          </w:tcPr>
          <w:p w:rsidR="00745FA4" w:rsidRPr="00510DDB" w:rsidRDefault="008C0D5B" w:rsidP="008736E8">
            <w:pPr>
              <w:pStyle w:val="ListParagraph"/>
              <w:numPr>
                <w:ilvl w:val="0"/>
                <w:numId w:val="27"/>
              </w:numPr>
              <w:rPr>
                <w:rFonts w:ascii="Times New Roman" w:hAnsi="Times New Roman"/>
                <w:sz w:val="24"/>
                <w:lang w:val="en-CA"/>
              </w:rPr>
            </w:pPr>
            <w:r>
              <w:rPr>
                <w:rFonts w:ascii="Times New Roman" w:hAnsi="Times New Roman"/>
                <w:sz w:val="24"/>
                <w:lang w:val="en-CA"/>
              </w:rPr>
              <w:t>P</w:t>
            </w:r>
            <w:r w:rsidR="008736E8">
              <w:rPr>
                <w:rFonts w:ascii="Times New Roman" w:hAnsi="Times New Roman"/>
                <w:sz w:val="24"/>
                <w:lang w:val="en-CA"/>
              </w:rPr>
              <w:t xml:space="preserve">rovide justification for the </w:t>
            </w:r>
            <w:r>
              <w:rPr>
                <w:rFonts w:ascii="Times New Roman" w:hAnsi="Times New Roman"/>
                <w:sz w:val="24"/>
                <w:lang w:val="en-CA"/>
              </w:rPr>
              <w:t xml:space="preserve">overall </w:t>
            </w:r>
            <w:r w:rsidR="008736E8">
              <w:rPr>
                <w:rFonts w:ascii="Times New Roman" w:hAnsi="Times New Roman"/>
                <w:sz w:val="24"/>
                <w:lang w:val="en-CA"/>
              </w:rPr>
              <w:t xml:space="preserve">Framework </w:t>
            </w:r>
            <w:r>
              <w:rPr>
                <w:rFonts w:ascii="Times New Roman" w:hAnsi="Times New Roman"/>
                <w:sz w:val="24"/>
                <w:lang w:val="en-CA"/>
              </w:rPr>
              <w:t xml:space="preserve">approach </w:t>
            </w:r>
            <w:r w:rsidR="008736E8">
              <w:rPr>
                <w:rFonts w:ascii="Times New Roman" w:hAnsi="Times New Roman"/>
                <w:sz w:val="24"/>
                <w:lang w:val="en-CA"/>
              </w:rPr>
              <w:t>representing a more justifiable and practical approach to emissions management.</w:t>
            </w:r>
          </w:p>
        </w:tc>
      </w:tr>
    </w:tbl>
    <w:p w:rsidR="00B43378" w:rsidRDefault="0067146C" w:rsidP="00B43378">
      <w:pPr>
        <w:pStyle w:val="Heading1"/>
        <w:rPr>
          <w:lang w:val="en-CA"/>
        </w:rPr>
      </w:pPr>
      <w:bookmarkStart w:id="9" w:name="_Toc350177524"/>
      <w:r>
        <w:rPr>
          <w:lang w:val="en-CA"/>
        </w:rPr>
        <w:t>Projected R</w:t>
      </w:r>
      <w:r w:rsidR="007D60D9" w:rsidRPr="00834294">
        <w:rPr>
          <w:lang w:val="en-CA"/>
        </w:rPr>
        <w:t>esources</w:t>
      </w:r>
      <w:bookmarkEnd w:id="9"/>
    </w:p>
    <w:p w:rsidR="00E67E90" w:rsidRDefault="00E67E90" w:rsidP="00E67E90">
      <w:pPr>
        <w:rPr>
          <w:rFonts w:ascii="Times New Roman" w:hAnsi="Times New Roman"/>
          <w:sz w:val="24"/>
          <w:szCs w:val="24"/>
        </w:rPr>
      </w:pPr>
      <w:r>
        <w:rPr>
          <w:rFonts w:ascii="Times New Roman" w:hAnsi="Times New Roman"/>
          <w:sz w:val="24"/>
          <w:szCs w:val="24"/>
        </w:rPr>
        <w:t>The working group foresees the following potential external costs over the life of the project team, consistent with the objectives outlined in this document.  The accompanying figures are estimates and as the work of the project team progresses a clear idea of the required resources will emerge.</w:t>
      </w:r>
    </w:p>
    <w:p w:rsidR="00E67E90" w:rsidRDefault="00E67E90" w:rsidP="00E67E90">
      <w:pPr>
        <w:rPr>
          <w:rFonts w:ascii="Times New Roman" w:hAnsi="Times New Roman"/>
          <w:sz w:val="24"/>
          <w:szCs w:val="24"/>
        </w:rPr>
      </w:pPr>
    </w:p>
    <w:tbl>
      <w:tblPr>
        <w:tblStyle w:val="TableGrid"/>
        <w:tblW w:w="0" w:type="auto"/>
        <w:tblLook w:val="04A0"/>
      </w:tblPr>
      <w:tblGrid>
        <w:gridCol w:w="4338"/>
        <w:gridCol w:w="2430"/>
        <w:gridCol w:w="2340"/>
      </w:tblGrid>
      <w:tr w:rsidR="008E3CB8" w:rsidRPr="008830AC" w:rsidTr="00C568B2">
        <w:trPr>
          <w:tblHeader/>
        </w:trPr>
        <w:tc>
          <w:tcPr>
            <w:tcW w:w="4338" w:type="dxa"/>
          </w:tcPr>
          <w:p w:rsidR="008E3CB8" w:rsidRPr="008830AC" w:rsidRDefault="008E3CB8" w:rsidP="0082698D">
            <w:pPr>
              <w:rPr>
                <w:rFonts w:ascii="Times New Roman" w:hAnsi="Times New Roman"/>
                <w:b/>
                <w:sz w:val="24"/>
                <w:szCs w:val="24"/>
              </w:rPr>
            </w:pPr>
            <w:r w:rsidRPr="008830AC">
              <w:rPr>
                <w:rFonts w:ascii="Times New Roman" w:hAnsi="Times New Roman"/>
                <w:b/>
                <w:sz w:val="24"/>
                <w:szCs w:val="24"/>
              </w:rPr>
              <w:t>Key Task</w:t>
            </w:r>
          </w:p>
        </w:tc>
        <w:tc>
          <w:tcPr>
            <w:tcW w:w="2430" w:type="dxa"/>
          </w:tcPr>
          <w:p w:rsidR="008E3CB8" w:rsidRPr="008830AC" w:rsidRDefault="008E3CB8" w:rsidP="0082698D">
            <w:pPr>
              <w:rPr>
                <w:rFonts w:ascii="Times New Roman" w:hAnsi="Times New Roman"/>
                <w:b/>
                <w:sz w:val="24"/>
                <w:szCs w:val="24"/>
              </w:rPr>
            </w:pPr>
            <w:r w:rsidRPr="008830AC">
              <w:rPr>
                <w:rFonts w:ascii="Times New Roman" w:hAnsi="Times New Roman"/>
                <w:b/>
                <w:sz w:val="24"/>
                <w:szCs w:val="24"/>
              </w:rPr>
              <w:t>2008 Budget</w:t>
            </w:r>
          </w:p>
        </w:tc>
        <w:tc>
          <w:tcPr>
            <w:tcW w:w="2340" w:type="dxa"/>
          </w:tcPr>
          <w:p w:rsidR="008E3CB8" w:rsidRPr="008830AC" w:rsidRDefault="008E3CB8" w:rsidP="0082698D">
            <w:pPr>
              <w:rPr>
                <w:rFonts w:ascii="Times New Roman" w:hAnsi="Times New Roman"/>
                <w:b/>
                <w:sz w:val="24"/>
                <w:szCs w:val="24"/>
              </w:rPr>
            </w:pPr>
            <w:r w:rsidRPr="008830AC">
              <w:rPr>
                <w:rFonts w:ascii="Times New Roman" w:hAnsi="Times New Roman"/>
                <w:b/>
                <w:sz w:val="24"/>
                <w:szCs w:val="24"/>
              </w:rPr>
              <w:t>2013 Budget</w:t>
            </w:r>
          </w:p>
        </w:tc>
      </w:tr>
      <w:tr w:rsidR="008E3CB8" w:rsidRPr="008830AC" w:rsidTr="00441DA1">
        <w:tc>
          <w:tcPr>
            <w:tcW w:w="4338" w:type="dxa"/>
          </w:tcPr>
          <w:p w:rsidR="008E3CB8" w:rsidRPr="008830AC" w:rsidRDefault="008E3CB8" w:rsidP="0082698D">
            <w:pPr>
              <w:rPr>
                <w:rFonts w:ascii="Times New Roman" w:hAnsi="Times New Roman"/>
                <w:sz w:val="24"/>
                <w:szCs w:val="24"/>
              </w:rPr>
            </w:pPr>
            <w:r w:rsidRPr="008830AC">
              <w:rPr>
                <w:rFonts w:ascii="Times New Roman" w:hAnsi="Times New Roman"/>
                <w:sz w:val="24"/>
                <w:szCs w:val="24"/>
              </w:rPr>
              <w:t>Economic Analysis (Recommendation 35)</w:t>
            </w:r>
          </w:p>
          <w:p w:rsidR="008E3CB8" w:rsidRPr="008830AC" w:rsidRDefault="008E3CB8" w:rsidP="0082698D">
            <w:pPr>
              <w:rPr>
                <w:rFonts w:ascii="Times New Roman" w:hAnsi="Times New Roman"/>
                <w:sz w:val="24"/>
                <w:szCs w:val="24"/>
              </w:rPr>
            </w:pPr>
          </w:p>
        </w:tc>
        <w:tc>
          <w:tcPr>
            <w:tcW w:w="2430" w:type="dxa"/>
          </w:tcPr>
          <w:p w:rsidR="008E3CB8" w:rsidRPr="008830AC" w:rsidRDefault="008E3CB8" w:rsidP="0082698D">
            <w:pPr>
              <w:rPr>
                <w:rFonts w:ascii="Times New Roman" w:hAnsi="Times New Roman"/>
                <w:sz w:val="24"/>
                <w:szCs w:val="24"/>
              </w:rPr>
            </w:pPr>
          </w:p>
        </w:tc>
        <w:tc>
          <w:tcPr>
            <w:tcW w:w="2340" w:type="dxa"/>
          </w:tcPr>
          <w:p w:rsidR="008E3CB8" w:rsidRPr="008830AC" w:rsidRDefault="008E3CB8" w:rsidP="004E59AC">
            <w:pPr>
              <w:rPr>
                <w:rFonts w:ascii="Times New Roman" w:hAnsi="Times New Roman"/>
                <w:sz w:val="24"/>
                <w:szCs w:val="24"/>
              </w:rPr>
            </w:pPr>
            <w:r w:rsidRPr="008830AC">
              <w:rPr>
                <w:rFonts w:ascii="Times New Roman" w:hAnsi="Times New Roman"/>
                <w:sz w:val="24"/>
                <w:szCs w:val="24"/>
              </w:rPr>
              <w:t>$</w:t>
            </w:r>
            <w:r w:rsidR="004E59AC" w:rsidRPr="008830AC">
              <w:rPr>
                <w:rFonts w:ascii="Times New Roman" w:hAnsi="Times New Roman"/>
                <w:sz w:val="24"/>
                <w:szCs w:val="24"/>
              </w:rPr>
              <w:t>80</w:t>
            </w:r>
            <w:r w:rsidRPr="008830AC">
              <w:rPr>
                <w:rFonts w:ascii="Times New Roman" w:hAnsi="Times New Roman"/>
                <w:sz w:val="24"/>
                <w:szCs w:val="24"/>
              </w:rPr>
              <w:t>,000</w:t>
            </w:r>
          </w:p>
        </w:tc>
      </w:tr>
      <w:tr w:rsidR="008E3CB8" w:rsidRPr="008830AC" w:rsidTr="00441DA1">
        <w:tc>
          <w:tcPr>
            <w:tcW w:w="4338" w:type="dxa"/>
          </w:tcPr>
          <w:p w:rsidR="008E3CB8" w:rsidRPr="008830AC" w:rsidRDefault="008E3CB8" w:rsidP="0082698D">
            <w:pPr>
              <w:rPr>
                <w:rFonts w:ascii="Times New Roman" w:hAnsi="Times New Roman"/>
                <w:sz w:val="24"/>
                <w:szCs w:val="24"/>
              </w:rPr>
            </w:pPr>
            <w:r w:rsidRPr="008830AC">
              <w:rPr>
                <w:rFonts w:ascii="Times New Roman" w:hAnsi="Times New Roman"/>
                <w:sz w:val="24"/>
                <w:szCs w:val="24"/>
              </w:rPr>
              <w:t>Emissions Growth (Recommendation 34)</w:t>
            </w:r>
          </w:p>
          <w:p w:rsidR="008E3CB8" w:rsidRPr="008830AC" w:rsidRDefault="008E3CB8" w:rsidP="0082698D">
            <w:pPr>
              <w:rPr>
                <w:rFonts w:ascii="Times New Roman" w:hAnsi="Times New Roman"/>
                <w:sz w:val="24"/>
                <w:szCs w:val="24"/>
              </w:rPr>
            </w:pPr>
          </w:p>
        </w:tc>
        <w:tc>
          <w:tcPr>
            <w:tcW w:w="2430" w:type="dxa"/>
          </w:tcPr>
          <w:p w:rsidR="008E3CB8" w:rsidRPr="008830AC" w:rsidRDefault="008E3CB8" w:rsidP="0082698D">
            <w:pPr>
              <w:rPr>
                <w:rFonts w:ascii="Times New Roman" w:hAnsi="Times New Roman"/>
                <w:sz w:val="24"/>
                <w:szCs w:val="24"/>
              </w:rPr>
            </w:pPr>
            <w:r w:rsidRPr="008830AC">
              <w:rPr>
                <w:rFonts w:ascii="Times New Roman" w:hAnsi="Times New Roman"/>
                <w:sz w:val="24"/>
                <w:szCs w:val="24"/>
              </w:rPr>
              <w:t>$24,000</w:t>
            </w:r>
          </w:p>
          <w:p w:rsidR="008E3CB8" w:rsidRPr="008830AC" w:rsidRDefault="008E3CB8" w:rsidP="0082698D">
            <w:pPr>
              <w:rPr>
                <w:rFonts w:ascii="Times New Roman" w:hAnsi="Times New Roman"/>
                <w:sz w:val="24"/>
                <w:szCs w:val="24"/>
              </w:rPr>
            </w:pPr>
            <w:r w:rsidRPr="008830AC">
              <w:rPr>
                <w:rFonts w:ascii="Times New Roman" w:hAnsi="Times New Roman"/>
                <w:sz w:val="24"/>
                <w:szCs w:val="24"/>
              </w:rPr>
              <w:t>$10,000 (2009 update, based on new recommendations)</w:t>
            </w:r>
          </w:p>
          <w:p w:rsidR="008E3CB8" w:rsidRPr="008830AC" w:rsidRDefault="008E3CB8" w:rsidP="0082698D">
            <w:pPr>
              <w:rPr>
                <w:rFonts w:ascii="Times New Roman" w:hAnsi="Times New Roman"/>
                <w:sz w:val="24"/>
                <w:szCs w:val="24"/>
              </w:rPr>
            </w:pPr>
          </w:p>
        </w:tc>
        <w:tc>
          <w:tcPr>
            <w:tcW w:w="2340" w:type="dxa"/>
          </w:tcPr>
          <w:p w:rsidR="008E3CB8" w:rsidRPr="008830AC" w:rsidRDefault="008E3CB8" w:rsidP="0082698D">
            <w:pPr>
              <w:rPr>
                <w:rFonts w:ascii="Times New Roman" w:hAnsi="Times New Roman"/>
                <w:sz w:val="24"/>
                <w:szCs w:val="24"/>
              </w:rPr>
            </w:pPr>
            <w:r w:rsidRPr="008830AC">
              <w:rPr>
                <w:rFonts w:ascii="Times New Roman" w:hAnsi="Times New Roman"/>
                <w:sz w:val="24"/>
                <w:szCs w:val="24"/>
              </w:rPr>
              <w:lastRenderedPageBreak/>
              <w:t>$35,000</w:t>
            </w:r>
          </w:p>
        </w:tc>
      </w:tr>
      <w:tr w:rsidR="008E3CB8" w:rsidRPr="008830AC" w:rsidTr="00441DA1">
        <w:tc>
          <w:tcPr>
            <w:tcW w:w="4338" w:type="dxa"/>
          </w:tcPr>
          <w:p w:rsidR="008E3CB8" w:rsidRPr="008830AC" w:rsidRDefault="008E3CB8" w:rsidP="0082698D">
            <w:pPr>
              <w:rPr>
                <w:rFonts w:ascii="Times New Roman" w:hAnsi="Times New Roman"/>
                <w:sz w:val="24"/>
                <w:szCs w:val="24"/>
              </w:rPr>
            </w:pPr>
            <w:r w:rsidRPr="008830AC">
              <w:rPr>
                <w:rFonts w:ascii="Times New Roman" w:hAnsi="Times New Roman"/>
                <w:sz w:val="24"/>
                <w:szCs w:val="24"/>
              </w:rPr>
              <w:lastRenderedPageBreak/>
              <w:t>BATEA Review</w:t>
            </w:r>
          </w:p>
        </w:tc>
        <w:tc>
          <w:tcPr>
            <w:tcW w:w="2430" w:type="dxa"/>
          </w:tcPr>
          <w:p w:rsidR="008E3CB8" w:rsidRPr="008830AC" w:rsidRDefault="008E3CB8" w:rsidP="0082698D">
            <w:pPr>
              <w:rPr>
                <w:rFonts w:ascii="Times New Roman" w:hAnsi="Times New Roman"/>
                <w:sz w:val="24"/>
                <w:szCs w:val="24"/>
              </w:rPr>
            </w:pPr>
            <w:r w:rsidRPr="008830AC">
              <w:rPr>
                <w:rFonts w:ascii="Times New Roman" w:hAnsi="Times New Roman"/>
                <w:sz w:val="24"/>
                <w:szCs w:val="24"/>
              </w:rPr>
              <w:t>$160,000</w:t>
            </w:r>
          </w:p>
        </w:tc>
        <w:tc>
          <w:tcPr>
            <w:tcW w:w="2340" w:type="dxa"/>
          </w:tcPr>
          <w:p w:rsidR="008E3CB8" w:rsidRPr="008830AC" w:rsidRDefault="008E3CB8" w:rsidP="0082698D">
            <w:pPr>
              <w:rPr>
                <w:rFonts w:ascii="Times New Roman" w:hAnsi="Times New Roman"/>
                <w:sz w:val="24"/>
                <w:szCs w:val="24"/>
              </w:rPr>
            </w:pPr>
            <w:r w:rsidRPr="008830AC">
              <w:rPr>
                <w:rFonts w:ascii="Times New Roman" w:hAnsi="Times New Roman"/>
                <w:sz w:val="24"/>
                <w:szCs w:val="24"/>
              </w:rPr>
              <w:t>$60,000</w:t>
            </w:r>
          </w:p>
        </w:tc>
      </w:tr>
      <w:tr w:rsidR="008E3CB8" w:rsidRPr="008830AC" w:rsidTr="00441DA1">
        <w:tc>
          <w:tcPr>
            <w:tcW w:w="4338" w:type="dxa"/>
          </w:tcPr>
          <w:p w:rsidR="008E3CB8" w:rsidRPr="008830AC" w:rsidRDefault="008E3CB8" w:rsidP="0082698D">
            <w:pPr>
              <w:rPr>
                <w:rFonts w:ascii="Times New Roman" w:hAnsi="Times New Roman"/>
                <w:sz w:val="24"/>
                <w:szCs w:val="24"/>
              </w:rPr>
            </w:pPr>
            <w:r w:rsidRPr="008830AC">
              <w:rPr>
                <w:rFonts w:ascii="Times New Roman" w:hAnsi="Times New Roman"/>
                <w:sz w:val="24"/>
                <w:szCs w:val="24"/>
              </w:rPr>
              <w:t>Environmental Effects Literature Review</w:t>
            </w:r>
          </w:p>
        </w:tc>
        <w:tc>
          <w:tcPr>
            <w:tcW w:w="2430" w:type="dxa"/>
          </w:tcPr>
          <w:p w:rsidR="008E3CB8" w:rsidRPr="008830AC" w:rsidRDefault="008E3CB8" w:rsidP="0082698D">
            <w:pPr>
              <w:rPr>
                <w:rFonts w:ascii="Times New Roman" w:hAnsi="Times New Roman"/>
                <w:sz w:val="24"/>
                <w:szCs w:val="24"/>
              </w:rPr>
            </w:pPr>
            <w:r w:rsidRPr="008830AC">
              <w:rPr>
                <w:rFonts w:ascii="Times New Roman" w:hAnsi="Times New Roman"/>
                <w:sz w:val="24"/>
                <w:szCs w:val="24"/>
              </w:rPr>
              <w:t>$10,000</w:t>
            </w:r>
          </w:p>
        </w:tc>
        <w:tc>
          <w:tcPr>
            <w:tcW w:w="2340" w:type="dxa"/>
          </w:tcPr>
          <w:p w:rsidR="008E3CB8" w:rsidRPr="008830AC" w:rsidRDefault="008E3CB8" w:rsidP="0082698D">
            <w:pPr>
              <w:rPr>
                <w:rFonts w:ascii="Times New Roman" w:hAnsi="Times New Roman"/>
                <w:sz w:val="24"/>
                <w:szCs w:val="24"/>
              </w:rPr>
            </w:pPr>
            <w:r w:rsidRPr="008830AC">
              <w:rPr>
                <w:rFonts w:ascii="Times New Roman" w:hAnsi="Times New Roman"/>
                <w:sz w:val="24"/>
                <w:szCs w:val="24"/>
              </w:rPr>
              <w:t>$20,000</w:t>
            </w:r>
          </w:p>
        </w:tc>
      </w:tr>
      <w:tr w:rsidR="008E3CB8" w:rsidRPr="008830AC" w:rsidTr="00441DA1">
        <w:tc>
          <w:tcPr>
            <w:tcW w:w="4338" w:type="dxa"/>
          </w:tcPr>
          <w:p w:rsidR="008E3CB8" w:rsidRPr="008830AC" w:rsidRDefault="008E3CB8" w:rsidP="0082698D">
            <w:pPr>
              <w:rPr>
                <w:rFonts w:ascii="Times New Roman" w:hAnsi="Times New Roman"/>
                <w:sz w:val="24"/>
                <w:szCs w:val="24"/>
              </w:rPr>
            </w:pPr>
            <w:r w:rsidRPr="008830AC">
              <w:rPr>
                <w:rFonts w:ascii="Times New Roman" w:hAnsi="Times New Roman"/>
                <w:sz w:val="24"/>
                <w:szCs w:val="24"/>
              </w:rPr>
              <w:t>Health Effects Literature Review</w:t>
            </w:r>
          </w:p>
          <w:p w:rsidR="008E3CB8" w:rsidRPr="008830AC" w:rsidRDefault="008E3CB8" w:rsidP="0082698D">
            <w:pPr>
              <w:rPr>
                <w:rFonts w:ascii="Times New Roman" w:hAnsi="Times New Roman"/>
                <w:sz w:val="24"/>
                <w:szCs w:val="24"/>
              </w:rPr>
            </w:pPr>
          </w:p>
        </w:tc>
        <w:tc>
          <w:tcPr>
            <w:tcW w:w="2430" w:type="dxa"/>
          </w:tcPr>
          <w:p w:rsidR="008E3CB8" w:rsidRPr="008830AC" w:rsidRDefault="008E3CB8" w:rsidP="0082698D">
            <w:pPr>
              <w:rPr>
                <w:rFonts w:ascii="Times New Roman" w:hAnsi="Times New Roman"/>
                <w:sz w:val="24"/>
                <w:szCs w:val="24"/>
              </w:rPr>
            </w:pPr>
            <w:r w:rsidRPr="008830AC">
              <w:rPr>
                <w:rFonts w:ascii="Times New Roman" w:hAnsi="Times New Roman"/>
                <w:sz w:val="24"/>
                <w:szCs w:val="24"/>
              </w:rPr>
              <w:t>$10,000</w:t>
            </w:r>
          </w:p>
        </w:tc>
        <w:tc>
          <w:tcPr>
            <w:tcW w:w="2340" w:type="dxa"/>
          </w:tcPr>
          <w:p w:rsidR="008E3CB8" w:rsidRPr="008830AC" w:rsidRDefault="008E3CB8" w:rsidP="0082698D">
            <w:pPr>
              <w:rPr>
                <w:rFonts w:ascii="Times New Roman" w:hAnsi="Times New Roman"/>
                <w:sz w:val="24"/>
                <w:szCs w:val="24"/>
              </w:rPr>
            </w:pPr>
            <w:r w:rsidRPr="008830AC">
              <w:rPr>
                <w:rFonts w:ascii="Times New Roman" w:hAnsi="Times New Roman"/>
                <w:sz w:val="24"/>
                <w:szCs w:val="24"/>
              </w:rPr>
              <w:t>$20,000</w:t>
            </w:r>
          </w:p>
        </w:tc>
      </w:tr>
      <w:tr w:rsidR="00A21381" w:rsidRPr="008830AC" w:rsidTr="00441DA1">
        <w:tc>
          <w:tcPr>
            <w:tcW w:w="4338" w:type="dxa"/>
          </w:tcPr>
          <w:p w:rsidR="00A21381" w:rsidRPr="008830AC" w:rsidRDefault="00A21381" w:rsidP="004C21F1">
            <w:pPr>
              <w:rPr>
                <w:rFonts w:ascii="Times New Roman" w:hAnsi="Times New Roman"/>
                <w:sz w:val="24"/>
                <w:szCs w:val="24"/>
              </w:rPr>
            </w:pPr>
            <w:r w:rsidRPr="008830AC">
              <w:rPr>
                <w:rFonts w:ascii="Times New Roman" w:hAnsi="Times New Roman"/>
                <w:sz w:val="24"/>
                <w:szCs w:val="24"/>
              </w:rPr>
              <w:t>PM Management System</w:t>
            </w:r>
            <w:r w:rsidR="004C21F1">
              <w:rPr>
                <w:rFonts w:ascii="Times New Roman" w:hAnsi="Times New Roman"/>
                <w:sz w:val="24"/>
                <w:szCs w:val="24"/>
              </w:rPr>
              <w:t xml:space="preserve"> consideration</w:t>
            </w:r>
          </w:p>
        </w:tc>
        <w:tc>
          <w:tcPr>
            <w:tcW w:w="2430" w:type="dxa"/>
          </w:tcPr>
          <w:p w:rsidR="00A21381" w:rsidRPr="008830AC" w:rsidRDefault="00A21381" w:rsidP="0082698D">
            <w:pPr>
              <w:rPr>
                <w:rFonts w:ascii="Times New Roman" w:hAnsi="Times New Roman"/>
                <w:sz w:val="24"/>
                <w:szCs w:val="24"/>
              </w:rPr>
            </w:pPr>
          </w:p>
        </w:tc>
        <w:tc>
          <w:tcPr>
            <w:tcW w:w="2340" w:type="dxa"/>
          </w:tcPr>
          <w:p w:rsidR="00A21381" w:rsidRPr="008830AC" w:rsidRDefault="00A21381" w:rsidP="0082698D">
            <w:pPr>
              <w:rPr>
                <w:rFonts w:ascii="Times New Roman" w:hAnsi="Times New Roman"/>
                <w:sz w:val="24"/>
                <w:szCs w:val="24"/>
              </w:rPr>
            </w:pPr>
            <w:r w:rsidRPr="008830AC">
              <w:rPr>
                <w:rFonts w:ascii="Times New Roman" w:hAnsi="Times New Roman"/>
                <w:sz w:val="24"/>
                <w:szCs w:val="24"/>
              </w:rPr>
              <w:t>$20,000</w:t>
            </w:r>
          </w:p>
        </w:tc>
      </w:tr>
      <w:tr w:rsidR="00A21381" w:rsidRPr="008830AC" w:rsidTr="00441DA1">
        <w:tc>
          <w:tcPr>
            <w:tcW w:w="4338" w:type="dxa"/>
          </w:tcPr>
          <w:p w:rsidR="00A21381" w:rsidRPr="008830AC" w:rsidRDefault="008C0D5B" w:rsidP="0082698D">
            <w:pPr>
              <w:rPr>
                <w:rFonts w:ascii="Times New Roman" w:hAnsi="Times New Roman"/>
                <w:sz w:val="24"/>
                <w:szCs w:val="24"/>
              </w:rPr>
            </w:pPr>
            <w:r w:rsidRPr="008830AC">
              <w:rPr>
                <w:rFonts w:ascii="Times New Roman" w:hAnsi="Times New Roman"/>
                <w:sz w:val="24"/>
                <w:szCs w:val="24"/>
              </w:rPr>
              <w:t>Other consultant</w:t>
            </w:r>
            <w:r w:rsidR="004C21F1">
              <w:rPr>
                <w:rFonts w:ascii="Times New Roman" w:hAnsi="Times New Roman"/>
                <w:sz w:val="24"/>
                <w:szCs w:val="24"/>
              </w:rPr>
              <w:t xml:space="preserve"> work, as required</w:t>
            </w:r>
          </w:p>
        </w:tc>
        <w:tc>
          <w:tcPr>
            <w:tcW w:w="2430" w:type="dxa"/>
          </w:tcPr>
          <w:p w:rsidR="00A21381" w:rsidRPr="008830AC" w:rsidRDefault="00A21381" w:rsidP="0082698D">
            <w:pPr>
              <w:rPr>
                <w:rFonts w:ascii="Times New Roman" w:hAnsi="Times New Roman"/>
                <w:sz w:val="24"/>
                <w:szCs w:val="24"/>
              </w:rPr>
            </w:pPr>
          </w:p>
        </w:tc>
        <w:tc>
          <w:tcPr>
            <w:tcW w:w="2340" w:type="dxa"/>
          </w:tcPr>
          <w:p w:rsidR="00A21381" w:rsidRPr="008830AC" w:rsidRDefault="00A21381" w:rsidP="0082698D">
            <w:pPr>
              <w:rPr>
                <w:rFonts w:ascii="Times New Roman" w:hAnsi="Times New Roman"/>
                <w:sz w:val="24"/>
                <w:szCs w:val="24"/>
              </w:rPr>
            </w:pPr>
            <w:r w:rsidRPr="008830AC">
              <w:rPr>
                <w:rFonts w:ascii="Times New Roman" w:hAnsi="Times New Roman"/>
                <w:sz w:val="24"/>
                <w:szCs w:val="24"/>
              </w:rPr>
              <w:t>$20,000</w:t>
            </w:r>
          </w:p>
        </w:tc>
      </w:tr>
      <w:tr w:rsidR="008E3CB8" w:rsidRPr="008830AC" w:rsidTr="00441DA1">
        <w:tc>
          <w:tcPr>
            <w:tcW w:w="4338" w:type="dxa"/>
          </w:tcPr>
          <w:p w:rsidR="008E3CB8" w:rsidRPr="008830AC" w:rsidRDefault="008E3CB8" w:rsidP="0082698D">
            <w:pPr>
              <w:rPr>
                <w:rFonts w:ascii="Times New Roman" w:hAnsi="Times New Roman"/>
                <w:sz w:val="24"/>
                <w:szCs w:val="24"/>
              </w:rPr>
            </w:pPr>
            <w:r w:rsidRPr="008830AC">
              <w:rPr>
                <w:rFonts w:ascii="Times New Roman" w:hAnsi="Times New Roman"/>
                <w:sz w:val="24"/>
                <w:szCs w:val="24"/>
              </w:rPr>
              <w:t>Public Consultation</w:t>
            </w:r>
          </w:p>
          <w:p w:rsidR="008E3CB8" w:rsidRPr="008830AC" w:rsidRDefault="008E3CB8" w:rsidP="0082698D">
            <w:pPr>
              <w:rPr>
                <w:rFonts w:ascii="Times New Roman" w:hAnsi="Times New Roman"/>
                <w:sz w:val="24"/>
                <w:szCs w:val="24"/>
              </w:rPr>
            </w:pPr>
          </w:p>
        </w:tc>
        <w:tc>
          <w:tcPr>
            <w:tcW w:w="2430" w:type="dxa"/>
          </w:tcPr>
          <w:p w:rsidR="008E3CB8" w:rsidRPr="008830AC" w:rsidRDefault="008E3CB8" w:rsidP="0082698D">
            <w:pPr>
              <w:rPr>
                <w:rFonts w:ascii="Times New Roman" w:hAnsi="Times New Roman"/>
                <w:sz w:val="24"/>
                <w:szCs w:val="24"/>
              </w:rPr>
            </w:pPr>
            <w:r w:rsidRPr="008830AC">
              <w:rPr>
                <w:rFonts w:ascii="Times New Roman" w:hAnsi="Times New Roman"/>
                <w:sz w:val="24"/>
                <w:szCs w:val="24"/>
              </w:rPr>
              <w:t>$35,000</w:t>
            </w:r>
          </w:p>
          <w:p w:rsidR="008E3CB8" w:rsidRPr="008830AC" w:rsidRDefault="008E3CB8" w:rsidP="0082698D">
            <w:pPr>
              <w:rPr>
                <w:rFonts w:ascii="Times New Roman" w:hAnsi="Times New Roman"/>
                <w:sz w:val="24"/>
                <w:szCs w:val="24"/>
              </w:rPr>
            </w:pPr>
          </w:p>
        </w:tc>
        <w:tc>
          <w:tcPr>
            <w:tcW w:w="2340" w:type="dxa"/>
          </w:tcPr>
          <w:p w:rsidR="008E3CB8" w:rsidRPr="008830AC" w:rsidRDefault="008E3CB8" w:rsidP="0082698D">
            <w:pPr>
              <w:rPr>
                <w:rFonts w:ascii="Times New Roman" w:hAnsi="Times New Roman"/>
                <w:sz w:val="24"/>
                <w:szCs w:val="24"/>
              </w:rPr>
            </w:pPr>
            <w:r w:rsidRPr="008830AC">
              <w:rPr>
                <w:rFonts w:ascii="Times New Roman" w:hAnsi="Times New Roman"/>
                <w:sz w:val="24"/>
                <w:szCs w:val="24"/>
              </w:rPr>
              <w:t>$60,000</w:t>
            </w:r>
          </w:p>
        </w:tc>
      </w:tr>
      <w:tr w:rsidR="008E3CB8" w:rsidRPr="008830AC" w:rsidTr="00441DA1">
        <w:tc>
          <w:tcPr>
            <w:tcW w:w="4338" w:type="dxa"/>
          </w:tcPr>
          <w:p w:rsidR="008E3CB8" w:rsidRPr="008830AC" w:rsidRDefault="008E3CB8" w:rsidP="0082698D">
            <w:pPr>
              <w:rPr>
                <w:rFonts w:ascii="Times New Roman" w:hAnsi="Times New Roman"/>
                <w:b/>
                <w:sz w:val="24"/>
                <w:szCs w:val="24"/>
              </w:rPr>
            </w:pPr>
            <w:r w:rsidRPr="008830AC">
              <w:rPr>
                <w:rFonts w:ascii="Times New Roman" w:hAnsi="Times New Roman"/>
                <w:b/>
                <w:sz w:val="24"/>
                <w:szCs w:val="24"/>
              </w:rPr>
              <w:t>TOTAL</w:t>
            </w:r>
          </w:p>
        </w:tc>
        <w:tc>
          <w:tcPr>
            <w:tcW w:w="2430" w:type="dxa"/>
          </w:tcPr>
          <w:p w:rsidR="008E3CB8" w:rsidRPr="008830AC" w:rsidRDefault="008E3CB8" w:rsidP="0082698D">
            <w:pPr>
              <w:rPr>
                <w:rFonts w:ascii="Times New Roman" w:hAnsi="Times New Roman"/>
                <w:b/>
                <w:sz w:val="24"/>
                <w:szCs w:val="24"/>
              </w:rPr>
            </w:pPr>
            <w:r w:rsidRPr="008830AC">
              <w:rPr>
                <w:rFonts w:ascii="Times New Roman" w:hAnsi="Times New Roman"/>
                <w:b/>
                <w:sz w:val="24"/>
                <w:szCs w:val="24"/>
              </w:rPr>
              <w:t>$249,000</w:t>
            </w:r>
          </w:p>
        </w:tc>
        <w:tc>
          <w:tcPr>
            <w:tcW w:w="2340" w:type="dxa"/>
          </w:tcPr>
          <w:p w:rsidR="008E3CB8" w:rsidRPr="008830AC" w:rsidRDefault="008E3CB8" w:rsidP="00F0177B">
            <w:pPr>
              <w:rPr>
                <w:rFonts w:ascii="Times New Roman" w:hAnsi="Times New Roman"/>
                <w:b/>
                <w:sz w:val="24"/>
                <w:szCs w:val="24"/>
              </w:rPr>
            </w:pPr>
            <w:r w:rsidRPr="008830AC">
              <w:rPr>
                <w:rFonts w:ascii="Times New Roman" w:hAnsi="Times New Roman"/>
                <w:b/>
                <w:sz w:val="24"/>
                <w:szCs w:val="24"/>
              </w:rPr>
              <w:t>$</w:t>
            </w:r>
            <w:r w:rsidR="00F0177B">
              <w:rPr>
                <w:rFonts w:ascii="Times New Roman" w:hAnsi="Times New Roman"/>
                <w:b/>
                <w:sz w:val="24"/>
                <w:szCs w:val="24"/>
              </w:rPr>
              <w:t>315</w:t>
            </w:r>
            <w:r w:rsidRPr="008830AC">
              <w:rPr>
                <w:rFonts w:ascii="Times New Roman" w:hAnsi="Times New Roman"/>
                <w:b/>
                <w:sz w:val="24"/>
                <w:szCs w:val="24"/>
              </w:rPr>
              <w:t>,000</w:t>
            </w:r>
          </w:p>
        </w:tc>
      </w:tr>
      <w:tr w:rsidR="008E3CB8" w:rsidRPr="008830AC" w:rsidTr="00441DA1">
        <w:tc>
          <w:tcPr>
            <w:tcW w:w="4338" w:type="dxa"/>
            <w:shd w:val="clear" w:color="auto" w:fill="F2F2F2" w:themeFill="background1" w:themeFillShade="F2"/>
          </w:tcPr>
          <w:p w:rsidR="008E3CB8" w:rsidRPr="008830AC" w:rsidRDefault="008E3CB8" w:rsidP="0082698D">
            <w:pPr>
              <w:rPr>
                <w:rFonts w:ascii="Times New Roman" w:hAnsi="Times New Roman"/>
                <w:sz w:val="24"/>
                <w:szCs w:val="24"/>
              </w:rPr>
            </w:pPr>
            <w:r w:rsidRPr="008830AC">
              <w:rPr>
                <w:rFonts w:ascii="Times New Roman" w:hAnsi="Times New Roman"/>
                <w:sz w:val="24"/>
                <w:szCs w:val="24"/>
              </w:rPr>
              <w:t>NOx/Co-Gen Review</w:t>
            </w:r>
          </w:p>
          <w:p w:rsidR="00D35333" w:rsidRPr="00A90497" w:rsidRDefault="00D35333" w:rsidP="00D35333">
            <w:pPr>
              <w:rPr>
                <w:rFonts w:ascii="Times New Roman" w:hAnsi="Times New Roman"/>
                <w:sz w:val="18"/>
                <w:szCs w:val="18"/>
              </w:rPr>
            </w:pPr>
            <w:r w:rsidRPr="00A90497">
              <w:rPr>
                <w:rFonts w:ascii="Times New Roman" w:hAnsi="Times New Roman"/>
                <w:sz w:val="18"/>
                <w:szCs w:val="18"/>
              </w:rPr>
              <w:t>* The CASA Board directed the team to undertake this work in an attempt to reach consensus. These were extenuating circumstances</w:t>
            </w:r>
            <w:r w:rsidR="004C21F1">
              <w:rPr>
                <w:rFonts w:ascii="Times New Roman" w:hAnsi="Times New Roman"/>
                <w:sz w:val="18"/>
                <w:szCs w:val="18"/>
              </w:rPr>
              <w:t xml:space="preserve"> and this additional cost is not anticipated for the 2013 Five-Year Review</w:t>
            </w:r>
            <w:r w:rsidRPr="00A90497">
              <w:rPr>
                <w:rFonts w:ascii="Times New Roman" w:hAnsi="Times New Roman"/>
                <w:sz w:val="18"/>
                <w:szCs w:val="18"/>
              </w:rPr>
              <w:t>.</w:t>
            </w:r>
          </w:p>
        </w:tc>
        <w:tc>
          <w:tcPr>
            <w:tcW w:w="2430" w:type="dxa"/>
            <w:shd w:val="clear" w:color="auto" w:fill="F2F2F2" w:themeFill="background1" w:themeFillShade="F2"/>
            <w:vAlign w:val="bottom"/>
          </w:tcPr>
          <w:p w:rsidR="008E3CB8" w:rsidRPr="008830AC" w:rsidRDefault="00D35333" w:rsidP="00D35333">
            <w:pPr>
              <w:rPr>
                <w:rFonts w:ascii="Times New Roman" w:hAnsi="Times New Roman"/>
                <w:sz w:val="24"/>
                <w:szCs w:val="24"/>
              </w:rPr>
            </w:pPr>
            <w:r w:rsidRPr="008830AC">
              <w:rPr>
                <w:rFonts w:ascii="Times New Roman" w:hAnsi="Times New Roman"/>
                <w:sz w:val="24"/>
                <w:szCs w:val="24"/>
              </w:rPr>
              <w:t>$192,000</w:t>
            </w:r>
          </w:p>
          <w:p w:rsidR="008E3CB8" w:rsidRPr="008830AC" w:rsidRDefault="008E3CB8" w:rsidP="00D35333">
            <w:pPr>
              <w:rPr>
                <w:rFonts w:ascii="Times New Roman" w:hAnsi="Times New Roman"/>
                <w:sz w:val="24"/>
                <w:szCs w:val="24"/>
              </w:rPr>
            </w:pPr>
          </w:p>
        </w:tc>
        <w:tc>
          <w:tcPr>
            <w:tcW w:w="2340" w:type="dxa"/>
            <w:shd w:val="clear" w:color="auto" w:fill="F2F2F2" w:themeFill="background1" w:themeFillShade="F2"/>
          </w:tcPr>
          <w:p w:rsidR="008E3CB8" w:rsidRPr="008830AC" w:rsidRDefault="008E3CB8" w:rsidP="0082698D">
            <w:pPr>
              <w:rPr>
                <w:rFonts w:ascii="Times New Roman" w:hAnsi="Times New Roman"/>
                <w:sz w:val="24"/>
                <w:szCs w:val="24"/>
              </w:rPr>
            </w:pPr>
          </w:p>
        </w:tc>
      </w:tr>
      <w:tr w:rsidR="00D35333" w:rsidRPr="008830AC" w:rsidTr="00441DA1">
        <w:tc>
          <w:tcPr>
            <w:tcW w:w="4338" w:type="dxa"/>
            <w:shd w:val="clear" w:color="auto" w:fill="F2F2F2" w:themeFill="background1" w:themeFillShade="F2"/>
          </w:tcPr>
          <w:p w:rsidR="00D35333" w:rsidRPr="008830AC" w:rsidRDefault="00D35333" w:rsidP="0082698D">
            <w:pPr>
              <w:rPr>
                <w:rFonts w:ascii="Times New Roman" w:hAnsi="Times New Roman"/>
                <w:sz w:val="24"/>
                <w:szCs w:val="24"/>
              </w:rPr>
            </w:pPr>
            <w:r w:rsidRPr="008830AC">
              <w:rPr>
                <w:rFonts w:ascii="Times New Roman" w:hAnsi="Times New Roman"/>
                <w:sz w:val="24"/>
                <w:szCs w:val="24"/>
              </w:rPr>
              <w:t>TOTAL</w:t>
            </w:r>
          </w:p>
        </w:tc>
        <w:tc>
          <w:tcPr>
            <w:tcW w:w="2430" w:type="dxa"/>
            <w:shd w:val="clear" w:color="auto" w:fill="F2F2F2" w:themeFill="background1" w:themeFillShade="F2"/>
          </w:tcPr>
          <w:p w:rsidR="00D35333" w:rsidRPr="008830AC" w:rsidRDefault="00D35333" w:rsidP="0082698D">
            <w:pPr>
              <w:rPr>
                <w:rFonts w:ascii="Times New Roman" w:hAnsi="Times New Roman"/>
                <w:sz w:val="24"/>
                <w:szCs w:val="24"/>
              </w:rPr>
            </w:pPr>
            <w:r w:rsidRPr="008830AC">
              <w:rPr>
                <w:rFonts w:ascii="Times New Roman" w:hAnsi="Times New Roman"/>
                <w:sz w:val="24"/>
                <w:szCs w:val="24"/>
              </w:rPr>
              <w:t>$441,000</w:t>
            </w:r>
          </w:p>
        </w:tc>
        <w:tc>
          <w:tcPr>
            <w:tcW w:w="2340" w:type="dxa"/>
            <w:shd w:val="clear" w:color="auto" w:fill="F2F2F2" w:themeFill="background1" w:themeFillShade="F2"/>
          </w:tcPr>
          <w:p w:rsidR="00D35333" w:rsidRPr="008830AC" w:rsidRDefault="00D35333" w:rsidP="0082698D">
            <w:pPr>
              <w:rPr>
                <w:rFonts w:ascii="Times New Roman" w:hAnsi="Times New Roman"/>
                <w:sz w:val="24"/>
                <w:szCs w:val="24"/>
              </w:rPr>
            </w:pPr>
          </w:p>
        </w:tc>
      </w:tr>
    </w:tbl>
    <w:p w:rsidR="00B43378" w:rsidRDefault="0067146C" w:rsidP="00B43378">
      <w:pPr>
        <w:pStyle w:val="Heading1"/>
        <w:rPr>
          <w:lang w:val="en-CA"/>
        </w:rPr>
      </w:pPr>
      <w:bookmarkStart w:id="10" w:name="_Toc350177525"/>
      <w:r>
        <w:rPr>
          <w:lang w:val="en-CA"/>
        </w:rPr>
        <w:t>Stakeholder A</w:t>
      </w:r>
      <w:r w:rsidR="007D60D9" w:rsidRPr="00834294">
        <w:rPr>
          <w:lang w:val="en-CA"/>
        </w:rPr>
        <w:t xml:space="preserve">nalysis and </w:t>
      </w:r>
      <w:r>
        <w:rPr>
          <w:lang w:val="en-CA"/>
        </w:rPr>
        <w:t>E</w:t>
      </w:r>
      <w:r w:rsidR="007D60D9" w:rsidRPr="00834294">
        <w:rPr>
          <w:lang w:val="en-CA"/>
        </w:rPr>
        <w:t xml:space="preserve">ngagement </w:t>
      </w:r>
      <w:r>
        <w:rPr>
          <w:lang w:val="en-CA"/>
        </w:rPr>
        <w:t>P</w:t>
      </w:r>
      <w:r w:rsidR="007D60D9" w:rsidRPr="00834294">
        <w:rPr>
          <w:lang w:val="en-CA"/>
        </w:rPr>
        <w:t>lan</w:t>
      </w:r>
      <w:bookmarkEnd w:id="10"/>
    </w:p>
    <w:p w:rsidR="00E21F71" w:rsidRPr="00FB1C37" w:rsidRDefault="00903FD1" w:rsidP="00903FD1">
      <w:pPr>
        <w:pStyle w:val="Bullet1"/>
        <w:numPr>
          <w:ilvl w:val="0"/>
          <w:numId w:val="0"/>
        </w:numPr>
        <w:rPr>
          <w:rFonts w:ascii="Times New Roman" w:hAnsi="Times New Roman"/>
          <w:sz w:val="24"/>
        </w:rPr>
      </w:pPr>
      <w:r>
        <w:rPr>
          <w:rFonts w:ascii="Times New Roman" w:hAnsi="Times New Roman"/>
          <w:sz w:val="24"/>
        </w:rPr>
        <w:t xml:space="preserve">Following due process, the CASA Board of Directors would be asked to propose </w:t>
      </w:r>
      <w:r w:rsidR="00734E19">
        <w:rPr>
          <w:rFonts w:ascii="Times New Roman" w:hAnsi="Times New Roman"/>
          <w:sz w:val="24"/>
        </w:rPr>
        <w:t>interested</w:t>
      </w:r>
      <w:r>
        <w:rPr>
          <w:rFonts w:ascii="Times New Roman" w:hAnsi="Times New Roman"/>
          <w:sz w:val="24"/>
        </w:rPr>
        <w:t xml:space="preserve"> parties </w:t>
      </w:r>
      <w:r w:rsidR="00734E19">
        <w:rPr>
          <w:rFonts w:ascii="Times New Roman" w:hAnsi="Times New Roman"/>
          <w:sz w:val="24"/>
        </w:rPr>
        <w:t>to</w:t>
      </w:r>
      <w:r>
        <w:rPr>
          <w:rFonts w:ascii="Times New Roman" w:hAnsi="Times New Roman"/>
          <w:sz w:val="24"/>
        </w:rPr>
        <w:t xml:space="preserve"> be engaged in the project team. Please see Appendix II for a list of previous participants, for both the 2003 Electricity Project Team and the 2008 Electricity Framework Review team.</w:t>
      </w:r>
      <w:r w:rsidR="00E21F71" w:rsidRPr="00FB1C37">
        <w:rPr>
          <w:rFonts w:ascii="Times New Roman" w:hAnsi="Times New Roman"/>
          <w:sz w:val="24"/>
        </w:rPr>
        <w:br w:type="page"/>
      </w:r>
    </w:p>
    <w:p w:rsidR="00561DF1" w:rsidRDefault="00B0039C" w:rsidP="00B43378">
      <w:pPr>
        <w:pStyle w:val="Heading1"/>
      </w:pPr>
      <w:bookmarkStart w:id="11" w:name="_Toc350177526"/>
      <w:r>
        <w:lastRenderedPageBreak/>
        <w:t>Appendix I – Managing Air Emissions in the Electricity Sector</w:t>
      </w:r>
      <w:bookmarkEnd w:id="11"/>
    </w:p>
    <w:p w:rsidR="00B0039C" w:rsidRDefault="00B0039C" w:rsidP="00834294">
      <w:pPr>
        <w:pStyle w:val="Bullet1"/>
        <w:numPr>
          <w:ilvl w:val="0"/>
          <w:numId w:val="0"/>
        </w:numPr>
        <w:ind w:left="360"/>
        <w:rPr>
          <w:rFonts w:ascii="Times New Roman" w:hAnsi="Times New Roman"/>
          <w:sz w:val="24"/>
        </w:rPr>
      </w:pPr>
    </w:p>
    <w:p w:rsidR="00903FD1" w:rsidRDefault="00200C93">
      <w:pPr>
        <w:spacing w:after="200" w:line="276" w:lineRule="auto"/>
        <w:rPr>
          <w:rFonts w:ascii="Times New Roman" w:hAnsi="Times New Roman"/>
          <w:sz w:val="24"/>
          <w:lang w:val="en-CA"/>
        </w:rPr>
      </w:pPr>
      <w:r w:rsidRPr="00200C93">
        <w:rPr>
          <w:rFonts w:ascii="Times New Roman" w:hAnsi="Times New Roman"/>
          <w:noProof/>
          <w:sz w:val="24"/>
        </w:rPr>
        <w:pict>
          <v:group id="Group 13" o:spid="_x0000_s1027" style="position:absolute;margin-left:-47.4pt;margin-top:33pt;width:516.95pt;height:382.3pt;z-index:251658240;mso-width-relative:margin;mso-height-relative:margin" coordorigin="1" coordsize="98168,48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">
            <v:shape id="_x0000_s1028" type="#_x0000_t202" style="position:absolute;left:29243;width:38125;height:52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Ks8UA&#10;AADcAAAADwAAAGRycy9kb3ducmV2LnhtbESPT2sCMRTE74V+h/CEXopmW0XtdqNIQdFba0Wvj83b&#10;P7h5WZN03X77RhB6HGbmN0y27E0jOnK+tqzgZZSAIM6trrlUcPheD+cgfEDW2FgmBb/kYbl4fMgw&#10;1fbKX9TtQykihH2KCqoQ2lRKn1dk0I9sSxy9wjqDIUpXSu3wGuGmka9JMpUGa44LFbb0UVF+3v8Y&#10;BfPJtjv53fjzmE+L5i08z7rNxSn1NOhX7yAC9eE/fG9vtYJxMoPb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cqzxQAAANwAAAAPAAAAAAAAAAAAAAAAAJgCAABkcnMv&#10;ZG93bnJldi54bWxQSwUGAAAAAAQABAD1AAAAigMAAAAA&#10;">
              <v:textbox>
                <w:txbxContent>
                  <w:p w:rsidR="007E32E5" w:rsidRPr="00C15715" w:rsidRDefault="007E32E5" w:rsidP="00E92109">
                    <w:pPr>
                      <w:jc w:val="center"/>
                      <w:rPr>
                        <w:b/>
                        <w:sz w:val="20"/>
                      </w:rPr>
                    </w:pPr>
                    <w:r w:rsidRPr="00C15715">
                      <w:rPr>
                        <w:b/>
                        <w:sz w:val="20"/>
                      </w:rPr>
                      <w:t>Emissions Management Framework for the Alberta Electricity Sector (2003)</w:t>
                    </w:r>
                  </w:p>
                </w:txbxContent>
              </v:textbox>
            </v:shape>
            <v:shape id="_x0000_s1029" type="#_x0000_t202" style="position:absolute;left:3710;top:33257;width:15958;height:55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7E32E5" w:rsidRPr="004F1F63" w:rsidRDefault="007E32E5" w:rsidP="00E92109">
                    <w:pPr>
                      <w:jc w:val="center"/>
                      <w:rPr>
                        <w:sz w:val="16"/>
                        <w:szCs w:val="16"/>
                      </w:rPr>
                    </w:pPr>
                    <w:r w:rsidRPr="004F1F63">
                      <w:rPr>
                        <w:sz w:val="16"/>
                        <w:szCs w:val="16"/>
                      </w:rPr>
                      <w:t>Emission Trading Regulation (Alberta Regulation 22/2006)</w:t>
                    </w:r>
                  </w:p>
                </w:txbxContent>
              </v:textbox>
            </v:shape>
            <v:shape id="_x0000_s1030" type="#_x0000_t202" style="position:absolute;left:1;top:22564;width:23463;height:51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7E32E5" w:rsidRPr="00FC56E0" w:rsidRDefault="007E32E5" w:rsidP="00E92109">
                    <w:pPr>
                      <w:jc w:val="center"/>
                      <w:rPr>
                        <w:sz w:val="24"/>
                        <w:szCs w:val="24"/>
                      </w:rPr>
                    </w:pPr>
                    <w:r w:rsidRPr="00FC56E0">
                      <w:rPr>
                        <w:sz w:val="24"/>
                        <w:szCs w:val="24"/>
                      </w:rPr>
                      <w:t>Emission Trading Program</w:t>
                    </w:r>
                  </w:p>
                </w:txbxContent>
              </v:textbox>
            </v:shape>
            <v:shape id="_x0000_s1031" type="#_x0000_t202" style="position:absolute;left:3710;top:44468;width:15958;height:37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7E32E5" w:rsidRPr="004F1F63" w:rsidRDefault="007E32E5" w:rsidP="00E92109">
                    <w:pPr>
                      <w:jc w:val="center"/>
                      <w:rPr>
                        <w:sz w:val="16"/>
                        <w:szCs w:val="16"/>
                      </w:rPr>
                    </w:pPr>
                    <w:r w:rsidRPr="004F1F63">
                      <w:rPr>
                        <w:sz w:val="16"/>
                        <w:szCs w:val="16"/>
                      </w:rPr>
                      <w:t>Emission Trading Registry</w:t>
                    </w:r>
                  </w:p>
                </w:txbxContent>
              </v:textbox>
            </v:shape>
            <v:shape id="_x0000_s1032" type="#_x0000_t202" style="position:absolute;left:24673;top:22564;width:23463;height:51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7E32E5" w:rsidRPr="004F1F63" w:rsidRDefault="007E32E5" w:rsidP="00E92109">
                    <w:pPr>
                      <w:jc w:val="center"/>
                      <w:rPr>
                        <w:sz w:val="16"/>
                        <w:szCs w:val="16"/>
                      </w:rPr>
                    </w:pPr>
                    <w:r w:rsidRPr="004F1F63">
                      <w:rPr>
                        <w:sz w:val="16"/>
                        <w:szCs w:val="16"/>
                      </w:rPr>
                      <w:t>Mercury Emissions from Coal-Fired Power Plants Regulation (Alberta Regulation 34/2006)</w:t>
                    </w:r>
                  </w:p>
                </w:txbxContent>
              </v:textbox>
            </v:shape>
            <v:shape id="_x0000_s1033" type="#_x0000_t202" style="position:absolute;left:49682;top:22555;width:23463;height:77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7E32E5" w:rsidRPr="004F1F63" w:rsidRDefault="007E32E5" w:rsidP="00E92109">
                    <w:pPr>
                      <w:autoSpaceDE w:val="0"/>
                      <w:autoSpaceDN w:val="0"/>
                      <w:adjustRightInd w:val="0"/>
                      <w:jc w:val="center"/>
                      <w:rPr>
                        <w:sz w:val="16"/>
                        <w:szCs w:val="16"/>
                      </w:rPr>
                    </w:pPr>
                    <w:r w:rsidRPr="004F1F63">
                      <w:rPr>
                        <w:sz w:val="16"/>
                        <w:szCs w:val="16"/>
                      </w:rPr>
                      <w:t>Guide for Responding To Potential “Hot Spots”</w:t>
                    </w:r>
                    <w:r>
                      <w:rPr>
                        <w:sz w:val="16"/>
                        <w:szCs w:val="16"/>
                      </w:rPr>
                      <w:t xml:space="preserve"> </w:t>
                    </w:r>
                    <w:r w:rsidRPr="004F1F63">
                      <w:rPr>
                        <w:sz w:val="16"/>
                        <w:szCs w:val="16"/>
                      </w:rPr>
                      <w:t>Resulting From Air Emissions from the Thermal Electric Power Generation Sector</w:t>
                    </w:r>
                  </w:p>
                </w:txbxContent>
              </v:textbox>
            </v:shape>
            <v:shape id="_x0000_s1034" type="#_x0000_t202" style="position:absolute;left:74706;top:22564;width:23463;height:51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7E32E5" w:rsidRPr="00FC56E0" w:rsidRDefault="007E32E5" w:rsidP="00E92109">
                    <w:pPr>
                      <w:autoSpaceDE w:val="0"/>
                      <w:autoSpaceDN w:val="0"/>
                      <w:adjustRightInd w:val="0"/>
                      <w:jc w:val="center"/>
                      <w:rPr>
                        <w:sz w:val="24"/>
                        <w:szCs w:val="24"/>
                      </w:rPr>
                    </w:pPr>
                    <w:r w:rsidRPr="00FC56E0">
                      <w:rPr>
                        <w:sz w:val="24"/>
                        <w:szCs w:val="24"/>
                      </w:rPr>
                      <w:t>Standards/Approval Clauses</w:t>
                    </w:r>
                  </w:p>
                </w:txbxContent>
              </v:textbox>
            </v:shape>
            <v:shapetype id="_x0000_t32" coordsize="21600,21600" o:spt="32" o:oned="t" path="m,l21600,21600e" filled="f">
              <v:path arrowok="t" fillok="f" o:connecttype="none"/>
              <o:lock v:ext="edit" shapetype="t"/>
            </v:shapetype>
            <v:shape id="Straight Arrow Connector 9" o:spid="_x0000_s1035" type="#_x0000_t32" style="position:absolute;left:10784;top:14973;width:37782;height:7588;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h88MAAADbAAAADwAAAGRycy9kb3ducmV2LnhtbESPQWvCQBCF70L/wzIFb7rRg0jqKkUo&#10;tqBCoj9gyE6T0Oxs2F1j+u+dg+BthvfmvW82u9F1aqAQW88GFvMMFHHlbcu1gevla7YGFROyxc4z&#10;GfinCLvt22SDufV3LmgoU60khGOOBpqU+lzrWDXkMM59Tyzarw8Ok6yh1jbgXcJdp5dZttIOW5aG&#10;BnvaN1T9lTdnoDrGczidDj/7RbEsDnwpu9vQGjN9Hz8/QCUa08v8vP62gi/08osMoL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iNYfPDAAAA2wAAAA8AAAAAAAAAAAAA&#10;AAAAoQIAAGRycy9kb3ducmV2LnhtbFBLBQYAAAAABAAEAPkAAACRAwAAAAA=&#10;" strokecolor="#4a7ebb">
              <v:stroke endarrow="open"/>
            </v:shape>
            <v:shape id="Straight Arrow Connector 10" o:spid="_x0000_s1036" type="#_x0000_t32" style="position:absolute;left:36146;top:14973;width:12420;height:7588;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HEaMEAAADbAAAADwAAAGRycy9kb3ducmV2LnhtbERPzWqDQBC+F/oOyxR6q6s5lGLdhBAI&#10;aaEG1D7A4E5U4s7K7kbt23cLgd7m4/udYreaUczk/GBZQZakIIhbqwfuFHw3x5c3ED4gaxwtk4If&#10;8rDbPj4UmGu7cEVzHToRQ9jnqKAPYcql9G1PBn1iJ+LIXawzGCJ0ndQOlxhuRrlJ01dpcODY0ONE&#10;h57aa30zCtovf3Zlefo8ZNWmOnFTj7d5UOr5ad2/gwi0hn/x3f2h4/wM/n6JB8jt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wcRowQAAANsAAAAPAAAAAAAAAAAAAAAA&#10;AKECAABkcnMvZG93bnJldi54bWxQSwUGAAAAAAQABAD5AAAAjwMAAAAA&#10;" strokecolor="#4a7ebb">
              <v:stroke endarrow="open"/>
            </v:shape>
            <v:shape id="Straight Arrow Connector 11" o:spid="_x0000_s1037" type="#_x0000_t32" style="position:absolute;left:48568;top:14973;width:12852;height:758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dEcQAAADbAAAADwAAAGRycy9kb3ducmV2LnhtbERPS2vCQBC+C/0PyxR6000lFEldpZUK&#10;uVSID+hxzI5JSHY2zW6T2F/fLQje5uN7znI9mkb01LnKsoLnWQSCOLe64kLB8bCdLkA4j6yxsUwK&#10;ruRgvXqYLDHRduCM+r0vRAhhl6CC0vs2kdLlJRl0M9sSB+5iO4M+wK6QusMhhJtGzqPoRRqsODSU&#10;2NKmpLze/xgFm/QzTd+3i3p3Pn3VH+Y3/j5lsVJPj+PbKwhPo7+Lb+5Uh/lz+P8lHC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r50RxAAAANsAAAAPAAAAAAAAAAAA&#10;AAAAAKECAABkcnMvZG93bnJldi54bWxQSwUGAAAAAAQABAD5AAAAkgMAAAAA&#10;" strokecolor="#4a7ebb">
              <v:stroke endarrow="open"/>
            </v:shape>
            <v:shape id="Straight Arrow Connector 12" o:spid="_x0000_s1038" type="#_x0000_t32" style="position:absolute;left:47187;top:14973;width:39504;height:758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qg/sMAAADbAAAADwAAAGRycy9kb3ducmV2LnhtbERPS2vCQBC+C/0PyxR6q5tKKBJdxYpC&#10;Li34CHgcs2MSkp2N2VXT/npXKHibj+8503lvGnGlzlWWFXwMIxDEudUVFwr2u/X7GITzyBoby6Tg&#10;lxzMZy+DKSba3nhD160vRAhhl6CC0vs2kdLlJRl0Q9sSB+5kO4M+wK6QusNbCDeNHEXRpzRYcWgo&#10;saVlSXm9vRgFy/Q7Tb/W4/rnmB3qlfmLz9kmVurttV9MQHjq/VP87051mB/D45dwgJ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KoP7DAAAA2wAAAA8AAAAAAAAAAAAA&#10;AAAAoQIAAGRycy9kb3ducmV2LnhtbFBLBQYAAAAABAAEAPkAAACRAwAAAAA=&#10;" strokecolor="#4a7ebb">
              <v:stroke endarrow="open"/>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4" o:spid="_x0000_s1039" type="#_x0000_t67" style="position:absolute;left:9576;top:28516;width:4845;height:422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sYcEA&#10;AADbAAAADwAAAGRycy9kb3ducmV2LnhtbERP32vCMBB+H+x/CDfwbU2duGnXKDIU9moVpm9Hc2uL&#10;yaUksXb//TIQ9nYf388r16M1YiAfOscKplkOgrh2uuNGwfGwe16ACBFZo3FMCn4owHr1+FBiod2N&#10;9zRUsREphEOBCtoY+0LKULdkMWSuJ07ct/MWY4K+kdrjLYVbI1/y/FVa7Dg1tNjTR0v1pbpaBSa8&#10;mXM3zKtjsz0tDzPPm+prptTkady8g4g0xn/x3f2p0/w5/P2SDp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p7GHBAAAA2wAAAA8AAAAAAAAAAAAAAAAAmAIAAGRycy9kb3du&#10;cmV2LnhtbFBLBQYAAAAABAAEAPUAAACGAwAAAAA=&#10;" adj="10800" fillcolor="#4f81bd" strokecolor="#385d8a" strokeweight="2pt"/>
            <v:shape id="Down Arrow 15" o:spid="_x0000_s1040" type="#_x0000_t67" style="position:absolute;left:9576;top:39390;width:4845;height:422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tyFsAA&#10;AADbAAAADwAAAGRycy9kb3ducmV2LnhtbERPTWsCMRC9C/0PYQreNGtFbbdGkaLg1VWwvQ2b6e5i&#10;MlmSuG7/fSMI3ubxPme57q0RHfnQOFYwGWcgiEunG64UnI670TuIEJE1Gsek4I8CrFcvgyXm2t34&#10;QF0RK5FCOOSooI6xzaUMZU0Ww9i1xIn7dd5iTNBXUnu8pXBr5FuWzaXFhlNDjS191VReiqtVYMLC&#10;/DTdrDhV2++P49TzpjhPlRq+9ptPEJH6+BQ/3Hud5s/h/ks6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vtyFsAAAADbAAAADwAAAAAAAAAAAAAAAACYAgAAZHJzL2Rvd25y&#10;ZXYueG1sUEsFBgAAAAAEAAQA9QAAAIUDAAAAAA==&#10;" adj="10800" fillcolor="#4f81bd" strokecolor="#385d8a" strokeweight="2pt"/>
            <v:shape id="Text Box 7" o:spid="_x0000_s1041" type="#_x0000_t202" style="position:absolute;left:29240;top:9192;width:38126;height:72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M1QsAA&#10;AADbAAAADwAAAGRycy9kb3ducmV2LnhtbERPTWsCMRC9F/ofwhS81Ww9VLsaRQqClyJuPdTbkIy7&#10;0c1k2cR19dcbQehtHu9zZove1aKjNljPCj6GGQhi7Y3lUsHud/U+AREissHaMym4UoDF/PVlhrnx&#10;F95SV8RSpBAOOSqoYmxyKYOuyGEY+oY4cQffOowJtqU0LV5SuKvlKMs+pUPLqaHChr4r0qfi7BQY&#10;/vOs9/bnZrnQ9uu2mRx1p9TgrV9OQUTq47/46V6bNH8Mj1/SAXJ+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1M1QsAAAADbAAAADwAAAAAAAAAAAAAAAACYAgAAZHJzL2Rvd25y&#10;ZXYueG1sUEsFBgAAAAAEAAQA9QAAAIUDAAAAAA==&#10;" fillcolor="window" strokeweight=".5pt">
              <v:textbox>
                <w:txbxContent>
                  <w:p w:rsidR="007E32E5" w:rsidRPr="00FA38DE" w:rsidRDefault="007E32E5" w:rsidP="00E92109">
                    <w:pPr>
                      <w:jc w:val="center"/>
                      <w:rPr>
                        <w:i/>
                        <w:color w:val="000000"/>
                        <w:sz w:val="20"/>
                      </w:rPr>
                    </w:pPr>
                    <w:r w:rsidRPr="00FA38DE">
                      <w:rPr>
                        <w:rStyle w:val="Emphasis"/>
                        <w:i w:val="0"/>
                        <w:color w:val="000000"/>
                        <w:sz w:val="20"/>
                      </w:rPr>
                      <w:t>Alberta Air Emission Standards for Electricity Generation and Alberta Air Emission Guidelines for Electricity Generation (Alberta Environment, December 2005)</w:t>
                    </w:r>
                  </w:p>
                  <w:p w:rsidR="007E32E5" w:rsidRDefault="007E32E5" w:rsidP="00E92109"/>
                </w:txbxContent>
              </v:textbox>
            </v:shape>
            <v:shape id="Down Arrow 8" o:spid="_x0000_s1042" type="#_x0000_t67" style="position:absolute;left:45976;top:5902;width:4846;height:25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hD/8QA&#10;AADbAAAADwAAAGRycy9kb3ducmV2LnhtbESPT2vDMAzF74N9B6PBbquzlfVPWreUscGuSwttbyJW&#10;kzBbDraXZt9+Ogx6k3hP7/203o7eqYFi6gIbeJ4UoIjrYDtuDBz2H08LUCkjW3SBycAvJdhu7u/W&#10;WNpw5S8aqtwoCeFUooE2577UOtUteUyT0BOLdgnRY5Y1NtpGvEq4d/qlKGbaY8fS0GJPby3V39WP&#10;N+DS3J274bU6NO+n5X4aeVcdp8Y8Poy7FahMY76Z/68/reALrPwiA+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oQ//EAAAA2wAAAA8AAAAAAAAAAAAAAAAAmAIAAGRycy9k&#10;b3ducmV2LnhtbFBLBQYAAAAABAAEAPUAAACJAwAAAAA=&#10;" adj="10800" fillcolor="#4f81bd" strokecolor="#385d8a" strokeweight="2pt"/>
          </v:group>
        </w:pict>
      </w:r>
      <w:r w:rsidR="00903FD1">
        <w:rPr>
          <w:rFonts w:ascii="Times New Roman" w:hAnsi="Times New Roman"/>
          <w:sz w:val="24"/>
        </w:rPr>
        <w:br w:type="page"/>
      </w:r>
    </w:p>
    <w:p w:rsidR="00B0039C" w:rsidRDefault="00903FD1" w:rsidP="00903FD1">
      <w:pPr>
        <w:pStyle w:val="Heading1"/>
      </w:pPr>
      <w:bookmarkStart w:id="12" w:name="_Toc350177527"/>
      <w:r>
        <w:lastRenderedPageBreak/>
        <w:t>Appendix II – Past Participants on the 2003 Electricity Project Team and the 2008 Electricity Framework Review Team</w:t>
      </w:r>
      <w:bookmarkEnd w:id="12"/>
    </w:p>
    <w:p w:rsidR="00903FD1" w:rsidRDefault="00903FD1" w:rsidP="00903FD1"/>
    <w:tbl>
      <w:tblPr>
        <w:tblpPr w:leftFromText="45" w:rightFromText="45" w:vertAnchor="text"/>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358"/>
        <w:gridCol w:w="4528"/>
        <w:gridCol w:w="2562"/>
      </w:tblGrid>
      <w:tr w:rsidR="00903FD1" w:rsidTr="008538E6">
        <w:trPr>
          <w:tblCellSpacing w:w="7"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CCCCCC"/>
            <w:hideMark/>
          </w:tcPr>
          <w:p w:rsidR="00903FD1" w:rsidRDefault="00903FD1" w:rsidP="008538E6">
            <w:pPr>
              <w:pStyle w:val="Heading3"/>
              <w:spacing w:line="300" w:lineRule="atLeast"/>
              <w:jc w:val="center"/>
            </w:pPr>
            <w:bookmarkStart w:id="13" w:name="_Toc349633199"/>
            <w:bookmarkStart w:id="14" w:name="_Toc350177528"/>
            <w:r>
              <w:t>Government</w:t>
            </w:r>
            <w:bookmarkEnd w:id="13"/>
            <w:bookmarkEnd w:id="14"/>
          </w:p>
        </w:tc>
      </w:tr>
      <w:tr w:rsidR="00903FD1" w:rsidTr="00903FD1">
        <w:trPr>
          <w:tblCellSpacing w:w="7" w:type="dxa"/>
        </w:trPr>
        <w:tc>
          <w:tcPr>
            <w:tcW w:w="1244" w:type="pct"/>
            <w:tcBorders>
              <w:top w:val="outset" w:sz="6" w:space="0" w:color="auto"/>
              <w:left w:val="outset" w:sz="6" w:space="0" w:color="auto"/>
              <w:bottom w:val="outset" w:sz="6" w:space="0" w:color="auto"/>
              <w:right w:val="outset" w:sz="6" w:space="0" w:color="auto"/>
            </w:tcBorders>
            <w:hideMark/>
          </w:tcPr>
          <w:p w:rsidR="00903FD1" w:rsidRDefault="00903FD1" w:rsidP="008538E6">
            <w:pPr>
              <w:pStyle w:val="NormalWeb"/>
              <w:spacing w:line="300" w:lineRule="atLeast"/>
              <w:rPr>
                <w:rFonts w:ascii="Arial" w:hAnsi="Arial" w:cs="Arial"/>
                <w:color w:val="797979"/>
                <w:sz w:val="18"/>
                <w:szCs w:val="18"/>
              </w:rPr>
            </w:pPr>
            <w:r>
              <w:rPr>
                <w:rFonts w:ascii="Arial" w:hAnsi="Arial" w:cs="Arial"/>
                <w:color w:val="797979"/>
                <w:sz w:val="18"/>
                <w:szCs w:val="18"/>
              </w:rPr>
              <w:t>Federal</w:t>
            </w:r>
          </w:p>
        </w:tc>
        <w:tc>
          <w:tcPr>
            <w:tcW w:w="2403" w:type="pct"/>
            <w:tcBorders>
              <w:top w:val="outset" w:sz="6" w:space="0" w:color="auto"/>
              <w:left w:val="outset" w:sz="6" w:space="0" w:color="auto"/>
              <w:bottom w:val="outset" w:sz="6" w:space="0" w:color="auto"/>
              <w:right w:val="outset" w:sz="6" w:space="0" w:color="auto"/>
            </w:tcBorders>
            <w:hideMark/>
          </w:tcPr>
          <w:p w:rsidR="00903FD1" w:rsidRDefault="00903FD1" w:rsidP="008538E6">
            <w:pPr>
              <w:pStyle w:val="NormalWeb"/>
              <w:spacing w:line="300" w:lineRule="atLeast"/>
              <w:rPr>
                <w:rFonts w:ascii="Arial" w:hAnsi="Arial" w:cs="Arial"/>
                <w:color w:val="797979"/>
                <w:sz w:val="18"/>
                <w:szCs w:val="18"/>
              </w:rPr>
            </w:pPr>
            <w:r>
              <w:rPr>
                <w:rFonts w:ascii="Arial" w:hAnsi="Arial" w:cs="Arial"/>
                <w:color w:val="797979"/>
                <w:sz w:val="18"/>
                <w:szCs w:val="18"/>
              </w:rPr>
              <w:t>Environment Canada</w:t>
            </w:r>
          </w:p>
        </w:tc>
        <w:tc>
          <w:tcPr>
            <w:tcW w:w="0" w:type="auto"/>
            <w:tcBorders>
              <w:top w:val="outset" w:sz="6" w:space="0" w:color="auto"/>
              <w:left w:val="outset" w:sz="6" w:space="0" w:color="auto"/>
              <w:bottom w:val="outset" w:sz="6" w:space="0" w:color="auto"/>
              <w:right w:val="outset" w:sz="6" w:space="0" w:color="auto"/>
            </w:tcBorders>
          </w:tcPr>
          <w:p w:rsidR="00903FD1" w:rsidRDefault="008812BC" w:rsidP="008538E6">
            <w:pPr>
              <w:pStyle w:val="NormalWeb"/>
              <w:spacing w:line="300" w:lineRule="atLeast"/>
              <w:rPr>
                <w:rFonts w:ascii="Arial" w:hAnsi="Arial" w:cs="Arial"/>
                <w:color w:val="797979"/>
                <w:sz w:val="18"/>
                <w:szCs w:val="18"/>
              </w:rPr>
            </w:pPr>
            <w:r>
              <w:rPr>
                <w:rFonts w:ascii="Arial" w:hAnsi="Arial" w:cs="Arial"/>
                <w:color w:val="797979"/>
                <w:sz w:val="18"/>
                <w:szCs w:val="18"/>
              </w:rPr>
              <w:t>Project Team</w:t>
            </w:r>
          </w:p>
        </w:tc>
      </w:tr>
      <w:tr w:rsidR="00903FD1" w:rsidTr="00903FD1">
        <w:trPr>
          <w:tblCellSpacing w:w="7" w:type="dxa"/>
        </w:trPr>
        <w:tc>
          <w:tcPr>
            <w:tcW w:w="1244" w:type="pct"/>
            <w:vMerge w:val="restart"/>
            <w:tcBorders>
              <w:top w:val="outset" w:sz="6" w:space="0" w:color="auto"/>
              <w:left w:val="outset" w:sz="6" w:space="0" w:color="auto"/>
              <w:right w:val="outset" w:sz="6" w:space="0" w:color="auto"/>
            </w:tcBorders>
            <w:hideMark/>
          </w:tcPr>
          <w:p w:rsidR="00903FD1" w:rsidRDefault="00903FD1" w:rsidP="008538E6">
            <w:pPr>
              <w:pStyle w:val="NormalWeb"/>
              <w:spacing w:line="300" w:lineRule="atLeast"/>
              <w:rPr>
                <w:rFonts w:ascii="Arial" w:hAnsi="Arial" w:cs="Arial"/>
                <w:color w:val="797979"/>
                <w:sz w:val="18"/>
                <w:szCs w:val="18"/>
              </w:rPr>
            </w:pPr>
            <w:r>
              <w:rPr>
                <w:rFonts w:ascii="Arial" w:hAnsi="Arial" w:cs="Arial"/>
                <w:color w:val="797979"/>
                <w:sz w:val="18"/>
                <w:szCs w:val="18"/>
              </w:rPr>
              <w:t xml:space="preserve">Provincial </w:t>
            </w:r>
          </w:p>
        </w:tc>
        <w:tc>
          <w:tcPr>
            <w:tcW w:w="2403" w:type="pct"/>
            <w:tcBorders>
              <w:top w:val="outset" w:sz="6" w:space="0" w:color="auto"/>
              <w:left w:val="outset" w:sz="6" w:space="0" w:color="auto"/>
              <w:bottom w:val="outset" w:sz="6" w:space="0" w:color="auto"/>
              <w:right w:val="outset" w:sz="6" w:space="0" w:color="auto"/>
            </w:tcBorders>
            <w:hideMark/>
          </w:tcPr>
          <w:p w:rsidR="00903FD1" w:rsidRDefault="00903FD1" w:rsidP="008538E6">
            <w:pPr>
              <w:pStyle w:val="NormalWeb"/>
              <w:spacing w:line="300" w:lineRule="atLeast"/>
              <w:rPr>
                <w:rFonts w:ascii="Arial" w:hAnsi="Arial" w:cs="Arial"/>
                <w:color w:val="797979"/>
                <w:sz w:val="18"/>
                <w:szCs w:val="18"/>
              </w:rPr>
            </w:pPr>
            <w:r>
              <w:rPr>
                <w:rFonts w:ascii="Arial" w:hAnsi="Arial" w:cs="Arial"/>
                <w:color w:val="797979"/>
                <w:sz w:val="18"/>
                <w:szCs w:val="18"/>
              </w:rPr>
              <w:t>Alberta Energy</w:t>
            </w:r>
          </w:p>
        </w:tc>
        <w:tc>
          <w:tcPr>
            <w:tcW w:w="0" w:type="auto"/>
            <w:tcBorders>
              <w:top w:val="outset" w:sz="6" w:space="0" w:color="auto"/>
              <w:left w:val="outset" w:sz="6" w:space="0" w:color="auto"/>
              <w:bottom w:val="outset" w:sz="6" w:space="0" w:color="auto"/>
              <w:right w:val="outset" w:sz="6" w:space="0" w:color="auto"/>
            </w:tcBorders>
          </w:tcPr>
          <w:p w:rsidR="00903FD1" w:rsidRDefault="00903FD1" w:rsidP="008538E6">
            <w:pPr>
              <w:pStyle w:val="NormalWeb"/>
              <w:spacing w:line="300" w:lineRule="atLeast"/>
              <w:rPr>
                <w:rFonts w:ascii="Arial" w:hAnsi="Arial" w:cs="Arial"/>
                <w:color w:val="797979"/>
                <w:sz w:val="18"/>
                <w:szCs w:val="18"/>
              </w:rPr>
            </w:pPr>
            <w:r>
              <w:rPr>
                <w:rFonts w:ascii="Arial" w:hAnsi="Arial" w:cs="Arial"/>
                <w:color w:val="797979"/>
                <w:sz w:val="18"/>
                <w:szCs w:val="18"/>
              </w:rPr>
              <w:t>Project Team</w:t>
            </w:r>
          </w:p>
        </w:tc>
      </w:tr>
      <w:tr w:rsidR="00903FD1" w:rsidTr="00903FD1">
        <w:trPr>
          <w:tblCellSpacing w:w="7" w:type="dxa"/>
        </w:trPr>
        <w:tc>
          <w:tcPr>
            <w:tcW w:w="1244" w:type="pct"/>
            <w:vMerge/>
            <w:tcBorders>
              <w:left w:val="outset" w:sz="6" w:space="0" w:color="auto"/>
              <w:right w:val="outset" w:sz="6" w:space="0" w:color="auto"/>
            </w:tcBorders>
            <w:hideMark/>
          </w:tcPr>
          <w:p w:rsidR="00903FD1" w:rsidRDefault="00903FD1" w:rsidP="008538E6">
            <w:pPr>
              <w:pStyle w:val="NormalWeb"/>
              <w:spacing w:line="300" w:lineRule="atLeast"/>
              <w:rPr>
                <w:rFonts w:ascii="Arial" w:hAnsi="Arial" w:cs="Arial"/>
                <w:color w:val="797979"/>
                <w:sz w:val="18"/>
                <w:szCs w:val="18"/>
              </w:rPr>
            </w:pPr>
          </w:p>
        </w:tc>
        <w:tc>
          <w:tcPr>
            <w:tcW w:w="2403" w:type="pct"/>
            <w:tcBorders>
              <w:top w:val="outset" w:sz="6" w:space="0" w:color="auto"/>
              <w:left w:val="outset" w:sz="6" w:space="0" w:color="auto"/>
              <w:bottom w:val="outset" w:sz="6" w:space="0" w:color="auto"/>
              <w:right w:val="outset" w:sz="6" w:space="0" w:color="auto"/>
            </w:tcBorders>
            <w:hideMark/>
          </w:tcPr>
          <w:p w:rsidR="00903FD1" w:rsidRDefault="00903FD1" w:rsidP="008812BC">
            <w:pPr>
              <w:pStyle w:val="NormalWeb"/>
              <w:spacing w:line="300" w:lineRule="atLeast"/>
              <w:rPr>
                <w:rFonts w:ascii="Arial" w:hAnsi="Arial" w:cs="Arial"/>
                <w:color w:val="797979"/>
                <w:sz w:val="18"/>
                <w:szCs w:val="18"/>
              </w:rPr>
            </w:pPr>
            <w:r>
              <w:rPr>
                <w:rFonts w:ascii="Arial" w:hAnsi="Arial" w:cs="Arial"/>
                <w:color w:val="797979"/>
                <w:sz w:val="18"/>
                <w:szCs w:val="18"/>
              </w:rPr>
              <w:t xml:space="preserve">AB Environment </w:t>
            </w:r>
            <w:r w:rsidR="008812BC">
              <w:rPr>
                <w:rFonts w:ascii="Arial" w:hAnsi="Arial" w:cs="Arial"/>
                <w:color w:val="797979"/>
                <w:sz w:val="18"/>
                <w:szCs w:val="18"/>
              </w:rPr>
              <w:t>&amp;</w:t>
            </w:r>
            <w:r>
              <w:rPr>
                <w:rFonts w:ascii="Arial" w:hAnsi="Arial" w:cs="Arial"/>
                <w:color w:val="797979"/>
                <w:sz w:val="18"/>
                <w:szCs w:val="18"/>
              </w:rPr>
              <w:t xml:space="preserve"> Sustainable Resource Development</w:t>
            </w:r>
          </w:p>
        </w:tc>
        <w:tc>
          <w:tcPr>
            <w:tcW w:w="0" w:type="auto"/>
            <w:tcBorders>
              <w:top w:val="outset" w:sz="6" w:space="0" w:color="auto"/>
              <w:left w:val="outset" w:sz="6" w:space="0" w:color="auto"/>
              <w:bottom w:val="outset" w:sz="6" w:space="0" w:color="auto"/>
              <w:right w:val="outset" w:sz="6" w:space="0" w:color="auto"/>
            </w:tcBorders>
          </w:tcPr>
          <w:p w:rsidR="00903FD1" w:rsidRDefault="00903FD1" w:rsidP="008538E6">
            <w:pPr>
              <w:pStyle w:val="NormalWeb"/>
              <w:spacing w:line="300" w:lineRule="atLeast"/>
              <w:rPr>
                <w:rFonts w:ascii="Arial" w:hAnsi="Arial" w:cs="Arial"/>
                <w:color w:val="797979"/>
                <w:sz w:val="18"/>
                <w:szCs w:val="18"/>
              </w:rPr>
            </w:pPr>
            <w:r>
              <w:rPr>
                <w:rFonts w:ascii="Arial" w:hAnsi="Arial" w:cs="Arial"/>
                <w:color w:val="797979"/>
                <w:sz w:val="18"/>
                <w:szCs w:val="18"/>
              </w:rPr>
              <w:t>Project Team</w:t>
            </w:r>
          </w:p>
        </w:tc>
      </w:tr>
      <w:tr w:rsidR="00903FD1" w:rsidTr="00903FD1">
        <w:trPr>
          <w:tblCellSpacing w:w="7" w:type="dxa"/>
        </w:trPr>
        <w:tc>
          <w:tcPr>
            <w:tcW w:w="1244" w:type="pct"/>
            <w:vMerge/>
            <w:tcBorders>
              <w:left w:val="outset" w:sz="6" w:space="0" w:color="auto"/>
              <w:right w:val="outset" w:sz="6" w:space="0" w:color="auto"/>
            </w:tcBorders>
            <w:hideMark/>
          </w:tcPr>
          <w:p w:rsidR="00903FD1" w:rsidRDefault="00903FD1" w:rsidP="008538E6">
            <w:pPr>
              <w:pStyle w:val="NormalWeb"/>
              <w:spacing w:line="300" w:lineRule="atLeast"/>
              <w:rPr>
                <w:rFonts w:ascii="Arial" w:hAnsi="Arial" w:cs="Arial"/>
                <w:color w:val="797979"/>
                <w:sz w:val="18"/>
                <w:szCs w:val="18"/>
              </w:rPr>
            </w:pPr>
          </w:p>
        </w:tc>
        <w:tc>
          <w:tcPr>
            <w:tcW w:w="2403" w:type="pct"/>
            <w:tcBorders>
              <w:top w:val="outset" w:sz="6" w:space="0" w:color="auto"/>
              <w:left w:val="outset" w:sz="6" w:space="0" w:color="auto"/>
              <w:bottom w:val="outset" w:sz="6" w:space="0" w:color="auto"/>
              <w:right w:val="outset" w:sz="6" w:space="0" w:color="auto"/>
            </w:tcBorders>
            <w:hideMark/>
          </w:tcPr>
          <w:p w:rsidR="00903FD1" w:rsidRDefault="00903FD1" w:rsidP="008538E6">
            <w:pPr>
              <w:spacing w:line="300" w:lineRule="atLeast"/>
              <w:rPr>
                <w:rFonts w:ascii="Arial" w:hAnsi="Arial" w:cs="Arial"/>
                <w:color w:val="797979"/>
                <w:sz w:val="18"/>
                <w:szCs w:val="18"/>
              </w:rPr>
            </w:pPr>
            <w:r>
              <w:rPr>
                <w:rFonts w:ascii="Arial" w:hAnsi="Arial" w:cs="Arial"/>
                <w:color w:val="797979"/>
                <w:sz w:val="18"/>
                <w:szCs w:val="18"/>
              </w:rPr>
              <w:t>Alberta Health</w:t>
            </w:r>
          </w:p>
        </w:tc>
        <w:tc>
          <w:tcPr>
            <w:tcW w:w="0" w:type="auto"/>
            <w:tcBorders>
              <w:top w:val="outset" w:sz="6" w:space="0" w:color="auto"/>
              <w:left w:val="outset" w:sz="6" w:space="0" w:color="auto"/>
              <w:bottom w:val="outset" w:sz="6" w:space="0" w:color="auto"/>
              <w:right w:val="outset" w:sz="6" w:space="0" w:color="auto"/>
            </w:tcBorders>
          </w:tcPr>
          <w:p w:rsidR="00903FD1" w:rsidRDefault="00903FD1" w:rsidP="008538E6">
            <w:pPr>
              <w:pStyle w:val="NormalWeb"/>
              <w:spacing w:line="300" w:lineRule="atLeast"/>
              <w:rPr>
                <w:rFonts w:ascii="Arial" w:hAnsi="Arial" w:cs="Arial"/>
                <w:color w:val="797979"/>
                <w:sz w:val="18"/>
                <w:szCs w:val="18"/>
              </w:rPr>
            </w:pPr>
            <w:r>
              <w:rPr>
                <w:rFonts w:ascii="Arial" w:hAnsi="Arial" w:cs="Arial"/>
                <w:color w:val="797979"/>
                <w:sz w:val="18"/>
                <w:szCs w:val="18"/>
              </w:rPr>
              <w:t>Project Team</w:t>
            </w:r>
          </w:p>
        </w:tc>
      </w:tr>
      <w:tr w:rsidR="00903FD1" w:rsidTr="00903FD1">
        <w:trPr>
          <w:tblCellSpacing w:w="7" w:type="dxa"/>
        </w:trPr>
        <w:tc>
          <w:tcPr>
            <w:tcW w:w="1244" w:type="pct"/>
            <w:vMerge/>
            <w:tcBorders>
              <w:left w:val="outset" w:sz="6" w:space="0" w:color="auto"/>
              <w:right w:val="outset" w:sz="6" w:space="0" w:color="auto"/>
            </w:tcBorders>
          </w:tcPr>
          <w:p w:rsidR="00903FD1" w:rsidRDefault="00903FD1" w:rsidP="008538E6">
            <w:pPr>
              <w:pStyle w:val="NormalWeb"/>
              <w:spacing w:line="300" w:lineRule="atLeast"/>
              <w:rPr>
                <w:rFonts w:ascii="Arial" w:hAnsi="Arial" w:cs="Arial"/>
                <w:color w:val="797979"/>
                <w:sz w:val="18"/>
                <w:szCs w:val="18"/>
              </w:rPr>
            </w:pPr>
          </w:p>
        </w:tc>
        <w:tc>
          <w:tcPr>
            <w:tcW w:w="2403" w:type="pct"/>
            <w:tcBorders>
              <w:top w:val="outset" w:sz="6" w:space="0" w:color="auto"/>
              <w:left w:val="outset" w:sz="6" w:space="0" w:color="auto"/>
              <w:bottom w:val="outset" w:sz="6" w:space="0" w:color="auto"/>
              <w:right w:val="outset" w:sz="6" w:space="0" w:color="auto"/>
            </w:tcBorders>
          </w:tcPr>
          <w:p w:rsidR="00903FD1" w:rsidRDefault="00903FD1" w:rsidP="008538E6">
            <w:pPr>
              <w:spacing w:line="300" w:lineRule="atLeast"/>
              <w:rPr>
                <w:rFonts w:ascii="Arial" w:hAnsi="Arial" w:cs="Arial"/>
                <w:color w:val="797979"/>
                <w:sz w:val="18"/>
                <w:szCs w:val="18"/>
              </w:rPr>
            </w:pPr>
            <w:r>
              <w:rPr>
                <w:rFonts w:ascii="Arial" w:hAnsi="Arial" w:cs="Arial"/>
                <w:color w:val="797979"/>
                <w:sz w:val="18"/>
                <w:szCs w:val="18"/>
              </w:rPr>
              <w:t>Alberta Energy and Resource Conservation Board</w:t>
            </w:r>
          </w:p>
        </w:tc>
        <w:tc>
          <w:tcPr>
            <w:tcW w:w="0" w:type="auto"/>
            <w:tcBorders>
              <w:top w:val="outset" w:sz="6" w:space="0" w:color="auto"/>
              <w:left w:val="outset" w:sz="6" w:space="0" w:color="auto"/>
              <w:bottom w:val="outset" w:sz="6" w:space="0" w:color="auto"/>
              <w:right w:val="outset" w:sz="6" w:space="0" w:color="auto"/>
            </w:tcBorders>
          </w:tcPr>
          <w:p w:rsidR="00903FD1" w:rsidRDefault="00903FD1" w:rsidP="008538E6">
            <w:pPr>
              <w:pStyle w:val="NormalWeb"/>
              <w:spacing w:line="300" w:lineRule="atLeast"/>
              <w:rPr>
                <w:rFonts w:ascii="Arial" w:hAnsi="Arial" w:cs="Arial"/>
                <w:color w:val="797979"/>
                <w:sz w:val="18"/>
                <w:szCs w:val="18"/>
              </w:rPr>
            </w:pPr>
          </w:p>
        </w:tc>
      </w:tr>
      <w:tr w:rsidR="00903FD1" w:rsidTr="00903FD1">
        <w:trPr>
          <w:tblCellSpacing w:w="7" w:type="dxa"/>
        </w:trPr>
        <w:tc>
          <w:tcPr>
            <w:tcW w:w="1244" w:type="pct"/>
            <w:vMerge/>
            <w:tcBorders>
              <w:left w:val="outset" w:sz="6" w:space="0" w:color="auto"/>
              <w:bottom w:val="outset" w:sz="6" w:space="0" w:color="auto"/>
              <w:right w:val="outset" w:sz="6" w:space="0" w:color="auto"/>
            </w:tcBorders>
          </w:tcPr>
          <w:p w:rsidR="00903FD1" w:rsidRDefault="00903FD1" w:rsidP="00903FD1">
            <w:pPr>
              <w:pStyle w:val="NormalWeb"/>
              <w:spacing w:line="300" w:lineRule="atLeast"/>
              <w:rPr>
                <w:rFonts w:ascii="Arial" w:hAnsi="Arial" w:cs="Arial"/>
                <w:color w:val="797979"/>
                <w:sz w:val="18"/>
                <w:szCs w:val="18"/>
              </w:rPr>
            </w:pPr>
          </w:p>
        </w:tc>
        <w:tc>
          <w:tcPr>
            <w:tcW w:w="2403" w:type="pct"/>
            <w:tcBorders>
              <w:top w:val="outset" w:sz="6" w:space="0" w:color="auto"/>
              <w:left w:val="outset" w:sz="6" w:space="0" w:color="auto"/>
              <w:bottom w:val="outset" w:sz="6" w:space="0" w:color="auto"/>
              <w:right w:val="outset" w:sz="6" w:space="0" w:color="auto"/>
            </w:tcBorders>
          </w:tcPr>
          <w:p w:rsidR="00903FD1" w:rsidRDefault="00903FD1" w:rsidP="00903FD1">
            <w:pPr>
              <w:spacing w:line="300" w:lineRule="atLeast"/>
              <w:rPr>
                <w:rFonts w:ascii="Arial" w:hAnsi="Arial" w:cs="Arial"/>
                <w:color w:val="797979"/>
                <w:sz w:val="18"/>
                <w:szCs w:val="18"/>
              </w:rPr>
            </w:pPr>
            <w:r>
              <w:rPr>
                <w:rFonts w:ascii="Arial" w:hAnsi="Arial" w:cs="Arial"/>
                <w:color w:val="797979"/>
                <w:sz w:val="18"/>
                <w:szCs w:val="18"/>
              </w:rPr>
              <w:t>Alberta Utilities Commission</w:t>
            </w:r>
          </w:p>
        </w:tc>
        <w:tc>
          <w:tcPr>
            <w:tcW w:w="0" w:type="auto"/>
            <w:tcBorders>
              <w:top w:val="outset" w:sz="6" w:space="0" w:color="auto"/>
              <w:left w:val="outset" w:sz="6" w:space="0" w:color="auto"/>
              <w:bottom w:val="outset" w:sz="6" w:space="0" w:color="auto"/>
              <w:right w:val="outset" w:sz="6" w:space="0" w:color="auto"/>
            </w:tcBorders>
          </w:tcPr>
          <w:p w:rsidR="00903FD1" w:rsidRDefault="00903FD1" w:rsidP="00903FD1">
            <w:pPr>
              <w:pStyle w:val="NormalWeb"/>
              <w:spacing w:line="300" w:lineRule="atLeast"/>
              <w:rPr>
                <w:rFonts w:ascii="Arial" w:hAnsi="Arial" w:cs="Arial"/>
                <w:color w:val="797979"/>
                <w:sz w:val="18"/>
                <w:szCs w:val="18"/>
              </w:rPr>
            </w:pPr>
            <w:r>
              <w:rPr>
                <w:rFonts w:ascii="Arial" w:hAnsi="Arial" w:cs="Arial"/>
                <w:color w:val="797979"/>
                <w:sz w:val="18"/>
                <w:szCs w:val="18"/>
              </w:rPr>
              <w:t>Project Team</w:t>
            </w:r>
          </w:p>
        </w:tc>
      </w:tr>
      <w:tr w:rsidR="00903FD1" w:rsidTr="00903FD1">
        <w:trPr>
          <w:tblCellSpacing w:w="7" w:type="dxa"/>
        </w:trPr>
        <w:tc>
          <w:tcPr>
            <w:tcW w:w="1244" w:type="pct"/>
            <w:vMerge w:val="restart"/>
            <w:tcBorders>
              <w:top w:val="outset" w:sz="6" w:space="0" w:color="auto"/>
              <w:left w:val="outset" w:sz="6" w:space="0" w:color="auto"/>
              <w:right w:val="outset" w:sz="6" w:space="0" w:color="auto"/>
            </w:tcBorders>
            <w:hideMark/>
          </w:tcPr>
          <w:p w:rsidR="00903FD1" w:rsidRDefault="00903FD1" w:rsidP="00903FD1">
            <w:pPr>
              <w:pStyle w:val="NormalWeb"/>
              <w:spacing w:line="300" w:lineRule="atLeast"/>
              <w:rPr>
                <w:rFonts w:ascii="Arial" w:hAnsi="Arial" w:cs="Arial"/>
                <w:color w:val="797979"/>
                <w:sz w:val="18"/>
                <w:szCs w:val="18"/>
              </w:rPr>
            </w:pPr>
            <w:r>
              <w:rPr>
                <w:rFonts w:ascii="Arial" w:hAnsi="Arial" w:cs="Arial"/>
                <w:color w:val="797979"/>
                <w:sz w:val="18"/>
                <w:szCs w:val="18"/>
              </w:rPr>
              <w:t xml:space="preserve">Local </w:t>
            </w:r>
          </w:p>
        </w:tc>
        <w:tc>
          <w:tcPr>
            <w:tcW w:w="2403" w:type="pct"/>
            <w:tcBorders>
              <w:top w:val="outset" w:sz="6" w:space="0" w:color="auto"/>
              <w:left w:val="outset" w:sz="6" w:space="0" w:color="auto"/>
              <w:bottom w:val="outset" w:sz="6" w:space="0" w:color="auto"/>
              <w:right w:val="outset" w:sz="6" w:space="0" w:color="auto"/>
            </w:tcBorders>
            <w:hideMark/>
          </w:tcPr>
          <w:p w:rsidR="00903FD1" w:rsidRDefault="00903FD1" w:rsidP="00903FD1">
            <w:pPr>
              <w:pStyle w:val="NormalWeb"/>
              <w:spacing w:line="300" w:lineRule="atLeast"/>
              <w:rPr>
                <w:rFonts w:ascii="Arial" w:hAnsi="Arial" w:cs="Arial"/>
                <w:color w:val="797979"/>
                <w:sz w:val="18"/>
                <w:szCs w:val="18"/>
              </w:rPr>
            </w:pPr>
            <w:r>
              <w:rPr>
                <w:rFonts w:ascii="Arial" w:hAnsi="Arial" w:cs="Arial"/>
                <w:color w:val="797979"/>
                <w:sz w:val="18"/>
                <w:szCs w:val="18"/>
              </w:rPr>
              <w:t>AB Association of Municipal Districts &amp; Counties</w:t>
            </w:r>
          </w:p>
        </w:tc>
        <w:tc>
          <w:tcPr>
            <w:tcW w:w="0" w:type="auto"/>
            <w:tcBorders>
              <w:top w:val="outset" w:sz="6" w:space="0" w:color="auto"/>
              <w:left w:val="outset" w:sz="6" w:space="0" w:color="auto"/>
              <w:bottom w:val="outset" w:sz="6" w:space="0" w:color="auto"/>
              <w:right w:val="outset" w:sz="6" w:space="0" w:color="auto"/>
            </w:tcBorders>
          </w:tcPr>
          <w:p w:rsidR="00903FD1" w:rsidRDefault="00903FD1" w:rsidP="00903FD1">
            <w:pPr>
              <w:pStyle w:val="NormalWeb"/>
              <w:spacing w:line="300" w:lineRule="atLeast"/>
              <w:rPr>
                <w:rFonts w:ascii="Arial" w:hAnsi="Arial" w:cs="Arial"/>
                <w:color w:val="797979"/>
                <w:sz w:val="18"/>
                <w:szCs w:val="18"/>
              </w:rPr>
            </w:pPr>
            <w:r>
              <w:rPr>
                <w:rFonts w:ascii="Arial" w:hAnsi="Arial" w:cs="Arial"/>
                <w:color w:val="797979"/>
                <w:sz w:val="18"/>
                <w:szCs w:val="18"/>
              </w:rPr>
              <w:t>Project Team</w:t>
            </w:r>
          </w:p>
        </w:tc>
      </w:tr>
      <w:tr w:rsidR="00903FD1" w:rsidTr="00903FD1">
        <w:trPr>
          <w:tblCellSpacing w:w="7" w:type="dxa"/>
        </w:trPr>
        <w:tc>
          <w:tcPr>
            <w:tcW w:w="1244" w:type="pct"/>
            <w:vMerge/>
            <w:tcBorders>
              <w:left w:val="outset" w:sz="6" w:space="0" w:color="auto"/>
              <w:bottom w:val="outset" w:sz="6" w:space="0" w:color="auto"/>
              <w:right w:val="outset" w:sz="6" w:space="0" w:color="auto"/>
            </w:tcBorders>
            <w:hideMark/>
          </w:tcPr>
          <w:p w:rsidR="00903FD1" w:rsidRDefault="00903FD1" w:rsidP="00903FD1">
            <w:pPr>
              <w:pStyle w:val="NormalWeb"/>
              <w:spacing w:line="300" w:lineRule="atLeast"/>
              <w:rPr>
                <w:rFonts w:ascii="Arial" w:hAnsi="Arial" w:cs="Arial"/>
                <w:color w:val="797979"/>
                <w:sz w:val="18"/>
                <w:szCs w:val="18"/>
              </w:rPr>
            </w:pPr>
          </w:p>
        </w:tc>
        <w:tc>
          <w:tcPr>
            <w:tcW w:w="2403" w:type="pct"/>
            <w:tcBorders>
              <w:top w:val="outset" w:sz="6" w:space="0" w:color="auto"/>
              <w:left w:val="outset" w:sz="6" w:space="0" w:color="auto"/>
              <w:bottom w:val="outset" w:sz="6" w:space="0" w:color="auto"/>
              <w:right w:val="outset" w:sz="6" w:space="0" w:color="auto"/>
            </w:tcBorders>
            <w:hideMark/>
          </w:tcPr>
          <w:p w:rsidR="00903FD1" w:rsidRDefault="00903FD1" w:rsidP="00903FD1">
            <w:pPr>
              <w:pStyle w:val="NormalWeb"/>
              <w:spacing w:line="300" w:lineRule="atLeast"/>
              <w:rPr>
                <w:rFonts w:ascii="Arial" w:hAnsi="Arial" w:cs="Arial"/>
                <w:color w:val="797979"/>
                <w:sz w:val="18"/>
                <w:szCs w:val="18"/>
              </w:rPr>
            </w:pPr>
            <w:r>
              <w:rPr>
                <w:rFonts w:ascii="Arial" w:hAnsi="Arial" w:cs="Arial"/>
                <w:color w:val="797979"/>
                <w:sz w:val="18"/>
                <w:szCs w:val="18"/>
              </w:rPr>
              <w:t>Alberta Urban Municipalities Association</w:t>
            </w:r>
          </w:p>
        </w:tc>
        <w:tc>
          <w:tcPr>
            <w:tcW w:w="0" w:type="auto"/>
            <w:tcBorders>
              <w:top w:val="outset" w:sz="6" w:space="0" w:color="auto"/>
              <w:left w:val="outset" w:sz="6" w:space="0" w:color="auto"/>
              <w:bottom w:val="outset" w:sz="6" w:space="0" w:color="auto"/>
              <w:right w:val="outset" w:sz="6" w:space="0" w:color="auto"/>
            </w:tcBorders>
            <w:hideMark/>
          </w:tcPr>
          <w:p w:rsidR="00903FD1" w:rsidRDefault="00903FD1" w:rsidP="00903FD1">
            <w:pPr>
              <w:pStyle w:val="NormalWeb"/>
              <w:spacing w:line="300" w:lineRule="atLeast"/>
              <w:rPr>
                <w:rFonts w:ascii="Arial" w:hAnsi="Arial" w:cs="Arial"/>
                <w:color w:val="797979"/>
                <w:sz w:val="18"/>
                <w:szCs w:val="18"/>
              </w:rPr>
            </w:pPr>
            <w:r>
              <w:rPr>
                <w:rFonts w:ascii="Arial" w:hAnsi="Arial" w:cs="Arial"/>
                <w:color w:val="797979"/>
                <w:sz w:val="18"/>
                <w:szCs w:val="18"/>
              </w:rPr>
              <w:t>Project Team</w:t>
            </w:r>
          </w:p>
        </w:tc>
      </w:tr>
      <w:tr w:rsidR="00903FD1" w:rsidTr="00903FD1">
        <w:trPr>
          <w:tblCellSpacing w:w="7" w:type="dxa"/>
        </w:trPr>
        <w:tc>
          <w:tcPr>
            <w:tcW w:w="1244" w:type="pct"/>
            <w:vMerge w:val="restart"/>
            <w:tcBorders>
              <w:top w:val="outset" w:sz="6" w:space="0" w:color="auto"/>
              <w:left w:val="outset" w:sz="6" w:space="0" w:color="auto"/>
              <w:right w:val="outset" w:sz="6" w:space="0" w:color="auto"/>
            </w:tcBorders>
            <w:hideMark/>
          </w:tcPr>
          <w:p w:rsidR="00903FD1" w:rsidRDefault="00903FD1" w:rsidP="00903FD1">
            <w:pPr>
              <w:pStyle w:val="NormalWeb"/>
              <w:spacing w:line="300" w:lineRule="atLeast"/>
              <w:rPr>
                <w:rFonts w:ascii="Arial" w:hAnsi="Arial" w:cs="Arial"/>
                <w:color w:val="797979"/>
                <w:sz w:val="18"/>
                <w:szCs w:val="18"/>
              </w:rPr>
            </w:pPr>
            <w:r>
              <w:rPr>
                <w:rFonts w:ascii="Arial" w:hAnsi="Arial" w:cs="Arial"/>
                <w:color w:val="797979"/>
                <w:sz w:val="18"/>
                <w:szCs w:val="18"/>
              </w:rPr>
              <w:t xml:space="preserve">Aboriginal </w:t>
            </w:r>
          </w:p>
        </w:tc>
        <w:tc>
          <w:tcPr>
            <w:tcW w:w="2403" w:type="pct"/>
            <w:tcBorders>
              <w:top w:val="outset" w:sz="6" w:space="0" w:color="auto"/>
              <w:left w:val="outset" w:sz="6" w:space="0" w:color="auto"/>
              <w:bottom w:val="outset" w:sz="6" w:space="0" w:color="auto"/>
              <w:right w:val="outset" w:sz="6" w:space="0" w:color="auto"/>
            </w:tcBorders>
            <w:hideMark/>
          </w:tcPr>
          <w:p w:rsidR="00903FD1" w:rsidRDefault="00903FD1" w:rsidP="00903FD1">
            <w:pPr>
              <w:pStyle w:val="NormalWeb"/>
              <w:spacing w:line="300" w:lineRule="atLeast"/>
              <w:rPr>
                <w:rFonts w:ascii="Arial" w:hAnsi="Arial" w:cs="Arial"/>
                <w:color w:val="797979"/>
                <w:sz w:val="18"/>
                <w:szCs w:val="18"/>
              </w:rPr>
            </w:pPr>
            <w:r>
              <w:rPr>
                <w:rFonts w:ascii="Arial" w:hAnsi="Arial" w:cs="Arial"/>
                <w:color w:val="797979"/>
                <w:sz w:val="18"/>
                <w:szCs w:val="18"/>
              </w:rPr>
              <w:t>First Nations Energy Task Force</w:t>
            </w:r>
          </w:p>
        </w:tc>
        <w:tc>
          <w:tcPr>
            <w:tcW w:w="0" w:type="auto"/>
            <w:tcBorders>
              <w:top w:val="outset" w:sz="6" w:space="0" w:color="auto"/>
              <w:left w:val="outset" w:sz="6" w:space="0" w:color="auto"/>
              <w:bottom w:val="outset" w:sz="6" w:space="0" w:color="auto"/>
              <w:right w:val="outset" w:sz="6" w:space="0" w:color="auto"/>
            </w:tcBorders>
            <w:hideMark/>
          </w:tcPr>
          <w:p w:rsidR="00903FD1" w:rsidRDefault="00903FD1" w:rsidP="00903FD1">
            <w:pPr>
              <w:pStyle w:val="NormalWeb"/>
              <w:spacing w:line="300" w:lineRule="atLeast"/>
              <w:rPr>
                <w:rFonts w:ascii="Arial" w:hAnsi="Arial" w:cs="Arial"/>
                <w:color w:val="797979"/>
                <w:sz w:val="18"/>
                <w:szCs w:val="18"/>
              </w:rPr>
            </w:pPr>
          </w:p>
        </w:tc>
      </w:tr>
      <w:tr w:rsidR="00903FD1" w:rsidTr="00903FD1">
        <w:trPr>
          <w:tblCellSpacing w:w="7" w:type="dxa"/>
        </w:trPr>
        <w:tc>
          <w:tcPr>
            <w:tcW w:w="1244" w:type="pct"/>
            <w:vMerge/>
            <w:tcBorders>
              <w:left w:val="outset" w:sz="6" w:space="0" w:color="auto"/>
              <w:bottom w:val="outset" w:sz="6" w:space="0" w:color="auto"/>
              <w:right w:val="outset" w:sz="6" w:space="0" w:color="auto"/>
            </w:tcBorders>
            <w:hideMark/>
          </w:tcPr>
          <w:p w:rsidR="00903FD1" w:rsidRDefault="00903FD1" w:rsidP="00903FD1">
            <w:pPr>
              <w:pStyle w:val="NormalWeb"/>
              <w:spacing w:line="300" w:lineRule="atLeast"/>
              <w:rPr>
                <w:rFonts w:ascii="Arial" w:hAnsi="Arial" w:cs="Arial"/>
                <w:color w:val="797979"/>
                <w:sz w:val="18"/>
                <w:szCs w:val="18"/>
              </w:rPr>
            </w:pPr>
          </w:p>
        </w:tc>
        <w:tc>
          <w:tcPr>
            <w:tcW w:w="2403" w:type="pct"/>
            <w:tcBorders>
              <w:top w:val="outset" w:sz="6" w:space="0" w:color="auto"/>
              <w:left w:val="outset" w:sz="6" w:space="0" w:color="auto"/>
              <w:bottom w:val="outset" w:sz="6" w:space="0" w:color="auto"/>
              <w:right w:val="outset" w:sz="6" w:space="0" w:color="auto"/>
            </w:tcBorders>
            <w:hideMark/>
          </w:tcPr>
          <w:p w:rsidR="00903FD1" w:rsidRDefault="00903FD1" w:rsidP="00903FD1">
            <w:pPr>
              <w:pStyle w:val="NormalWeb"/>
              <w:spacing w:line="300" w:lineRule="atLeast"/>
              <w:rPr>
                <w:rFonts w:ascii="Arial" w:hAnsi="Arial" w:cs="Arial"/>
                <w:color w:val="797979"/>
                <w:sz w:val="18"/>
                <w:szCs w:val="18"/>
              </w:rPr>
            </w:pPr>
            <w:r>
              <w:rPr>
                <w:rFonts w:ascii="Arial" w:hAnsi="Arial" w:cs="Arial"/>
                <w:color w:val="797979"/>
                <w:sz w:val="18"/>
                <w:szCs w:val="18"/>
              </w:rPr>
              <w:t>Metis</w:t>
            </w:r>
          </w:p>
        </w:tc>
        <w:tc>
          <w:tcPr>
            <w:tcW w:w="0" w:type="auto"/>
            <w:tcBorders>
              <w:top w:val="outset" w:sz="6" w:space="0" w:color="auto"/>
              <w:left w:val="outset" w:sz="6" w:space="0" w:color="auto"/>
              <w:bottom w:val="outset" w:sz="6" w:space="0" w:color="auto"/>
              <w:right w:val="outset" w:sz="6" w:space="0" w:color="auto"/>
            </w:tcBorders>
            <w:hideMark/>
          </w:tcPr>
          <w:p w:rsidR="00903FD1" w:rsidRDefault="00903FD1" w:rsidP="00903FD1">
            <w:pPr>
              <w:pStyle w:val="NormalWeb"/>
              <w:spacing w:line="300" w:lineRule="atLeast"/>
              <w:rPr>
                <w:rFonts w:ascii="Arial" w:hAnsi="Arial" w:cs="Arial"/>
                <w:color w:val="797979"/>
                <w:sz w:val="18"/>
                <w:szCs w:val="18"/>
              </w:rPr>
            </w:pPr>
          </w:p>
        </w:tc>
      </w:tr>
    </w:tbl>
    <w:p w:rsidR="00903FD1" w:rsidRDefault="00903FD1" w:rsidP="00903FD1"/>
    <w:p w:rsidR="00C93D3F" w:rsidRDefault="00C93D3F" w:rsidP="00903FD1"/>
    <w:tbl>
      <w:tblPr>
        <w:tblpPr w:leftFromText="45" w:rightFromText="45" w:vertAnchor="text"/>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416"/>
        <w:gridCol w:w="4573"/>
        <w:gridCol w:w="2459"/>
      </w:tblGrid>
      <w:tr w:rsidR="00903FD1" w:rsidTr="008538E6">
        <w:trPr>
          <w:tblCellSpacing w:w="7"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CCCCCC"/>
            <w:hideMark/>
          </w:tcPr>
          <w:p w:rsidR="00903FD1" w:rsidRDefault="00903FD1" w:rsidP="008538E6">
            <w:pPr>
              <w:pStyle w:val="Heading3"/>
              <w:spacing w:before="0"/>
              <w:jc w:val="center"/>
            </w:pPr>
            <w:bookmarkStart w:id="15" w:name="_Toc350177529"/>
            <w:r>
              <w:t>Industry</w:t>
            </w:r>
            <w:bookmarkEnd w:id="15"/>
          </w:p>
          <w:p w:rsidR="00903FD1" w:rsidRPr="00BB6D85" w:rsidRDefault="00903FD1" w:rsidP="008538E6"/>
        </w:tc>
      </w:tr>
      <w:tr w:rsidR="00903FD1" w:rsidTr="008538E6">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903FD1" w:rsidRDefault="00903FD1" w:rsidP="008538E6">
            <w:pPr>
              <w:pStyle w:val="NormalWeb"/>
              <w:spacing w:before="0" w:beforeAutospacing="0" w:after="0" w:afterAutospacing="0"/>
              <w:rPr>
                <w:rFonts w:ascii="Arial" w:hAnsi="Arial" w:cs="Arial"/>
                <w:color w:val="797979"/>
                <w:sz w:val="18"/>
                <w:szCs w:val="18"/>
              </w:rPr>
            </w:pPr>
            <w:r>
              <w:rPr>
                <w:rFonts w:ascii="Arial" w:hAnsi="Arial" w:cs="Arial"/>
                <w:color w:val="797979"/>
                <w:sz w:val="18"/>
                <w:szCs w:val="18"/>
              </w:rPr>
              <w:t>Agriculture</w:t>
            </w:r>
          </w:p>
        </w:tc>
        <w:tc>
          <w:tcPr>
            <w:tcW w:w="2427" w:type="pct"/>
            <w:tcBorders>
              <w:top w:val="outset" w:sz="6" w:space="0" w:color="auto"/>
              <w:left w:val="outset" w:sz="6" w:space="0" w:color="auto"/>
              <w:bottom w:val="outset" w:sz="6" w:space="0" w:color="auto"/>
              <w:right w:val="outset" w:sz="6" w:space="0" w:color="auto"/>
            </w:tcBorders>
            <w:hideMark/>
          </w:tcPr>
          <w:p w:rsidR="00903FD1" w:rsidRDefault="00903FD1" w:rsidP="008538E6">
            <w:pPr>
              <w:pStyle w:val="NormalWeb"/>
              <w:spacing w:before="0" w:beforeAutospacing="0" w:after="0" w:afterAutospacing="0"/>
              <w:rPr>
                <w:rFonts w:ascii="Arial" w:hAnsi="Arial" w:cs="Arial"/>
                <w:color w:val="797979"/>
                <w:sz w:val="18"/>
                <w:szCs w:val="18"/>
              </w:rPr>
            </w:pPr>
            <w:r>
              <w:rPr>
                <w:rFonts w:ascii="Arial" w:hAnsi="Arial" w:cs="Arial"/>
                <w:color w:val="797979"/>
                <w:sz w:val="18"/>
                <w:szCs w:val="18"/>
              </w:rPr>
              <w:t>Wild Rose Agricultural Producers</w:t>
            </w:r>
          </w:p>
        </w:tc>
        <w:tc>
          <w:tcPr>
            <w:tcW w:w="1298" w:type="pct"/>
            <w:tcBorders>
              <w:top w:val="outset" w:sz="6" w:space="0" w:color="auto"/>
              <w:left w:val="outset" w:sz="6" w:space="0" w:color="auto"/>
              <w:bottom w:val="outset" w:sz="6" w:space="0" w:color="auto"/>
              <w:right w:val="outset" w:sz="6" w:space="0" w:color="auto"/>
            </w:tcBorders>
            <w:hideMark/>
          </w:tcPr>
          <w:p w:rsidR="00903FD1" w:rsidRDefault="00903FD1" w:rsidP="008538E6">
            <w:pPr>
              <w:pStyle w:val="NormalWeb"/>
              <w:spacing w:before="0" w:beforeAutospacing="0" w:after="0" w:afterAutospacing="0"/>
              <w:rPr>
                <w:rFonts w:ascii="Arial" w:hAnsi="Arial" w:cs="Arial"/>
                <w:color w:val="797979"/>
                <w:sz w:val="18"/>
                <w:szCs w:val="18"/>
              </w:rPr>
            </w:pPr>
            <w:r>
              <w:rPr>
                <w:rFonts w:ascii="Arial" w:hAnsi="Arial" w:cs="Arial"/>
                <w:color w:val="797979"/>
                <w:sz w:val="18"/>
                <w:szCs w:val="18"/>
              </w:rPr>
              <w:t>Project Team</w:t>
            </w:r>
          </w:p>
        </w:tc>
      </w:tr>
      <w:tr w:rsidR="00903FD1" w:rsidTr="008538E6">
        <w:trPr>
          <w:tblCellSpacing w:w="7" w:type="dxa"/>
        </w:trPr>
        <w:tc>
          <w:tcPr>
            <w:tcW w:w="0" w:type="auto"/>
            <w:vMerge w:val="restart"/>
            <w:tcBorders>
              <w:top w:val="outset" w:sz="6" w:space="0" w:color="auto"/>
              <w:left w:val="outset" w:sz="6" w:space="0" w:color="auto"/>
              <w:right w:val="outset" w:sz="6" w:space="0" w:color="auto"/>
            </w:tcBorders>
            <w:hideMark/>
          </w:tcPr>
          <w:p w:rsidR="00903FD1" w:rsidRDefault="00903FD1" w:rsidP="008538E6">
            <w:pPr>
              <w:pStyle w:val="NormalWeb"/>
              <w:spacing w:before="0" w:beforeAutospacing="0" w:after="0" w:afterAutospacing="0"/>
              <w:rPr>
                <w:rFonts w:ascii="Arial" w:hAnsi="Arial" w:cs="Arial"/>
                <w:color w:val="797979"/>
                <w:sz w:val="18"/>
                <w:szCs w:val="18"/>
              </w:rPr>
            </w:pPr>
            <w:r>
              <w:rPr>
                <w:rFonts w:ascii="Arial" w:hAnsi="Arial" w:cs="Arial"/>
                <w:color w:val="797979"/>
                <w:sz w:val="18"/>
                <w:szCs w:val="18"/>
              </w:rPr>
              <w:t>Alternate Energy</w:t>
            </w:r>
          </w:p>
        </w:tc>
        <w:tc>
          <w:tcPr>
            <w:tcW w:w="2427" w:type="pct"/>
            <w:tcBorders>
              <w:top w:val="outset" w:sz="6" w:space="0" w:color="auto"/>
              <w:left w:val="outset" w:sz="6" w:space="0" w:color="auto"/>
              <w:bottom w:val="outset" w:sz="6" w:space="0" w:color="auto"/>
              <w:right w:val="outset" w:sz="6" w:space="0" w:color="auto"/>
            </w:tcBorders>
            <w:hideMark/>
          </w:tcPr>
          <w:p w:rsidR="00903FD1" w:rsidRDefault="00903FD1" w:rsidP="008538E6">
            <w:pPr>
              <w:pStyle w:val="NormalWeb"/>
              <w:spacing w:before="0" w:beforeAutospacing="0" w:after="0" w:afterAutospacing="0"/>
              <w:rPr>
                <w:rFonts w:ascii="Arial" w:hAnsi="Arial" w:cs="Arial"/>
                <w:color w:val="797979"/>
                <w:sz w:val="18"/>
                <w:szCs w:val="18"/>
              </w:rPr>
            </w:pPr>
            <w:r>
              <w:rPr>
                <w:rFonts w:ascii="Arial" w:hAnsi="Arial" w:cs="Arial"/>
                <w:color w:val="797979"/>
                <w:sz w:val="18"/>
                <w:szCs w:val="18"/>
              </w:rPr>
              <w:t>Vision Quest Wind Electric</w:t>
            </w:r>
          </w:p>
        </w:tc>
        <w:tc>
          <w:tcPr>
            <w:tcW w:w="1298" w:type="pct"/>
            <w:tcBorders>
              <w:top w:val="outset" w:sz="6" w:space="0" w:color="auto"/>
              <w:left w:val="outset" w:sz="6" w:space="0" w:color="auto"/>
              <w:bottom w:val="outset" w:sz="6" w:space="0" w:color="auto"/>
              <w:right w:val="outset" w:sz="6" w:space="0" w:color="auto"/>
            </w:tcBorders>
            <w:hideMark/>
          </w:tcPr>
          <w:p w:rsidR="00903FD1" w:rsidRDefault="008812BC" w:rsidP="008538E6">
            <w:pPr>
              <w:pStyle w:val="NormalWeb"/>
              <w:spacing w:before="0" w:beforeAutospacing="0" w:after="0" w:afterAutospacing="0"/>
              <w:rPr>
                <w:rFonts w:ascii="Arial" w:hAnsi="Arial" w:cs="Arial"/>
                <w:color w:val="797979"/>
                <w:sz w:val="18"/>
                <w:szCs w:val="18"/>
              </w:rPr>
            </w:pPr>
            <w:r>
              <w:rPr>
                <w:rFonts w:ascii="Arial" w:hAnsi="Arial" w:cs="Arial"/>
                <w:color w:val="797979"/>
                <w:sz w:val="18"/>
                <w:szCs w:val="18"/>
              </w:rPr>
              <w:t>Project Team</w:t>
            </w:r>
          </w:p>
        </w:tc>
      </w:tr>
      <w:tr w:rsidR="00903FD1" w:rsidTr="008538E6">
        <w:trPr>
          <w:tblCellSpacing w:w="7" w:type="dxa"/>
        </w:trPr>
        <w:tc>
          <w:tcPr>
            <w:tcW w:w="0" w:type="auto"/>
            <w:vMerge/>
            <w:tcBorders>
              <w:left w:val="outset" w:sz="6" w:space="0" w:color="auto"/>
              <w:right w:val="outset" w:sz="6" w:space="0" w:color="auto"/>
            </w:tcBorders>
          </w:tcPr>
          <w:p w:rsidR="00903FD1" w:rsidRDefault="00903FD1" w:rsidP="008538E6">
            <w:pPr>
              <w:pStyle w:val="NormalWeb"/>
              <w:spacing w:before="0" w:beforeAutospacing="0" w:after="0" w:afterAutospacing="0"/>
              <w:rPr>
                <w:rFonts w:ascii="Arial" w:hAnsi="Arial" w:cs="Arial"/>
                <w:color w:val="797979"/>
                <w:sz w:val="18"/>
                <w:szCs w:val="18"/>
              </w:rPr>
            </w:pPr>
          </w:p>
        </w:tc>
        <w:tc>
          <w:tcPr>
            <w:tcW w:w="2427" w:type="pct"/>
            <w:tcBorders>
              <w:top w:val="outset" w:sz="6" w:space="0" w:color="auto"/>
              <w:left w:val="outset" w:sz="6" w:space="0" w:color="auto"/>
              <w:bottom w:val="outset" w:sz="6" w:space="0" w:color="auto"/>
              <w:right w:val="outset" w:sz="6" w:space="0" w:color="auto"/>
            </w:tcBorders>
          </w:tcPr>
          <w:p w:rsidR="00903FD1" w:rsidRDefault="00903FD1" w:rsidP="008538E6">
            <w:pPr>
              <w:pStyle w:val="NormalWeb"/>
              <w:spacing w:before="0" w:beforeAutospacing="0" w:after="0" w:afterAutospacing="0"/>
              <w:rPr>
                <w:rFonts w:ascii="Arial" w:hAnsi="Arial" w:cs="Arial"/>
                <w:color w:val="797979"/>
                <w:sz w:val="18"/>
                <w:szCs w:val="18"/>
              </w:rPr>
            </w:pPr>
            <w:r>
              <w:rPr>
                <w:rFonts w:ascii="Arial" w:hAnsi="Arial" w:cs="Arial"/>
                <w:color w:val="797979"/>
                <w:sz w:val="18"/>
                <w:szCs w:val="18"/>
              </w:rPr>
              <w:t>Howell-Mayhew Engineering</w:t>
            </w:r>
          </w:p>
        </w:tc>
        <w:tc>
          <w:tcPr>
            <w:tcW w:w="1298" w:type="pct"/>
            <w:tcBorders>
              <w:top w:val="outset" w:sz="6" w:space="0" w:color="auto"/>
              <w:left w:val="outset" w:sz="6" w:space="0" w:color="auto"/>
              <w:bottom w:val="outset" w:sz="6" w:space="0" w:color="auto"/>
              <w:right w:val="outset" w:sz="6" w:space="0" w:color="auto"/>
            </w:tcBorders>
          </w:tcPr>
          <w:p w:rsidR="00903FD1" w:rsidRDefault="00903FD1" w:rsidP="008538E6">
            <w:pPr>
              <w:pStyle w:val="NormalWeb"/>
              <w:spacing w:before="0" w:beforeAutospacing="0" w:after="0" w:afterAutospacing="0"/>
              <w:rPr>
                <w:rFonts w:ascii="Arial" w:hAnsi="Arial" w:cs="Arial"/>
                <w:color w:val="797979"/>
                <w:sz w:val="18"/>
                <w:szCs w:val="18"/>
              </w:rPr>
            </w:pPr>
            <w:r>
              <w:rPr>
                <w:rFonts w:ascii="Arial" w:hAnsi="Arial" w:cs="Arial"/>
                <w:color w:val="797979"/>
                <w:sz w:val="18"/>
                <w:szCs w:val="18"/>
              </w:rPr>
              <w:t>Sub-Group</w:t>
            </w:r>
          </w:p>
        </w:tc>
      </w:tr>
      <w:tr w:rsidR="00903FD1" w:rsidTr="008538E6">
        <w:trPr>
          <w:tblCellSpacing w:w="7" w:type="dxa"/>
        </w:trPr>
        <w:tc>
          <w:tcPr>
            <w:tcW w:w="0" w:type="auto"/>
            <w:vMerge/>
            <w:tcBorders>
              <w:left w:val="outset" w:sz="6" w:space="0" w:color="auto"/>
              <w:bottom w:val="outset" w:sz="6" w:space="0" w:color="auto"/>
              <w:right w:val="outset" w:sz="6" w:space="0" w:color="auto"/>
            </w:tcBorders>
          </w:tcPr>
          <w:p w:rsidR="00903FD1" w:rsidRDefault="00903FD1" w:rsidP="008538E6">
            <w:pPr>
              <w:pStyle w:val="NormalWeb"/>
              <w:spacing w:before="0" w:beforeAutospacing="0" w:after="0" w:afterAutospacing="0"/>
              <w:rPr>
                <w:rFonts w:ascii="Arial" w:hAnsi="Arial" w:cs="Arial"/>
                <w:color w:val="797979"/>
                <w:sz w:val="18"/>
                <w:szCs w:val="18"/>
              </w:rPr>
            </w:pPr>
          </w:p>
        </w:tc>
        <w:tc>
          <w:tcPr>
            <w:tcW w:w="2427" w:type="pct"/>
            <w:tcBorders>
              <w:top w:val="outset" w:sz="6" w:space="0" w:color="auto"/>
              <w:left w:val="outset" w:sz="6" w:space="0" w:color="auto"/>
              <w:bottom w:val="outset" w:sz="6" w:space="0" w:color="auto"/>
              <w:right w:val="outset" w:sz="6" w:space="0" w:color="auto"/>
            </w:tcBorders>
          </w:tcPr>
          <w:p w:rsidR="00903FD1" w:rsidRDefault="00903FD1" w:rsidP="008538E6">
            <w:pPr>
              <w:pStyle w:val="NormalWeb"/>
              <w:spacing w:before="0" w:beforeAutospacing="0" w:after="0" w:afterAutospacing="0"/>
              <w:rPr>
                <w:rFonts w:ascii="Arial" w:hAnsi="Arial" w:cs="Arial"/>
                <w:color w:val="797979"/>
                <w:sz w:val="18"/>
                <w:szCs w:val="18"/>
              </w:rPr>
            </w:pPr>
            <w:r>
              <w:rPr>
                <w:rFonts w:ascii="Arial" w:hAnsi="Arial" w:cs="Arial"/>
                <w:color w:val="797979"/>
                <w:sz w:val="18"/>
                <w:szCs w:val="18"/>
              </w:rPr>
              <w:t>ENMAX</w:t>
            </w:r>
          </w:p>
        </w:tc>
        <w:tc>
          <w:tcPr>
            <w:tcW w:w="1298" w:type="pct"/>
            <w:tcBorders>
              <w:top w:val="outset" w:sz="6" w:space="0" w:color="auto"/>
              <w:left w:val="outset" w:sz="6" w:space="0" w:color="auto"/>
              <w:bottom w:val="outset" w:sz="6" w:space="0" w:color="auto"/>
              <w:right w:val="outset" w:sz="6" w:space="0" w:color="auto"/>
            </w:tcBorders>
          </w:tcPr>
          <w:p w:rsidR="00903FD1" w:rsidRDefault="008812BC" w:rsidP="008538E6">
            <w:pPr>
              <w:pStyle w:val="NormalWeb"/>
              <w:spacing w:before="0" w:beforeAutospacing="0" w:after="0" w:afterAutospacing="0"/>
              <w:rPr>
                <w:rFonts w:ascii="Arial" w:hAnsi="Arial" w:cs="Arial"/>
                <w:color w:val="797979"/>
                <w:sz w:val="18"/>
                <w:szCs w:val="18"/>
              </w:rPr>
            </w:pPr>
            <w:r>
              <w:rPr>
                <w:rFonts w:ascii="Arial" w:hAnsi="Arial" w:cs="Arial"/>
                <w:color w:val="797979"/>
                <w:sz w:val="18"/>
                <w:szCs w:val="18"/>
              </w:rPr>
              <w:t>Project Team</w:t>
            </w:r>
          </w:p>
        </w:tc>
      </w:tr>
      <w:tr w:rsidR="00903FD1" w:rsidTr="008538E6">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903FD1" w:rsidRDefault="00903FD1" w:rsidP="008538E6">
            <w:pPr>
              <w:pStyle w:val="NormalWeb"/>
              <w:spacing w:before="0" w:beforeAutospacing="0" w:after="0" w:afterAutospacing="0"/>
              <w:rPr>
                <w:rFonts w:ascii="Arial" w:hAnsi="Arial" w:cs="Arial"/>
                <w:color w:val="797979"/>
                <w:sz w:val="18"/>
                <w:szCs w:val="18"/>
              </w:rPr>
            </w:pPr>
            <w:r>
              <w:rPr>
                <w:rFonts w:ascii="Arial" w:hAnsi="Arial" w:cs="Arial"/>
                <w:color w:val="797979"/>
                <w:sz w:val="18"/>
                <w:szCs w:val="18"/>
              </w:rPr>
              <w:t>Chemical Manufacturers</w:t>
            </w:r>
          </w:p>
        </w:tc>
        <w:tc>
          <w:tcPr>
            <w:tcW w:w="2427" w:type="pct"/>
            <w:tcBorders>
              <w:top w:val="outset" w:sz="6" w:space="0" w:color="auto"/>
              <w:left w:val="outset" w:sz="6" w:space="0" w:color="auto"/>
              <w:bottom w:val="outset" w:sz="6" w:space="0" w:color="auto"/>
              <w:right w:val="outset" w:sz="6" w:space="0" w:color="auto"/>
            </w:tcBorders>
            <w:hideMark/>
          </w:tcPr>
          <w:p w:rsidR="00903FD1" w:rsidRDefault="00903FD1" w:rsidP="008538E6">
            <w:pPr>
              <w:pStyle w:val="NormalWeb"/>
              <w:spacing w:before="0" w:beforeAutospacing="0" w:after="0" w:afterAutospacing="0"/>
              <w:rPr>
                <w:rFonts w:ascii="Arial" w:hAnsi="Arial" w:cs="Arial"/>
                <w:color w:val="797979"/>
                <w:sz w:val="18"/>
                <w:szCs w:val="18"/>
              </w:rPr>
            </w:pPr>
            <w:r>
              <w:rPr>
                <w:rFonts w:ascii="Arial" w:hAnsi="Arial" w:cs="Arial"/>
                <w:color w:val="797979"/>
                <w:sz w:val="18"/>
                <w:szCs w:val="18"/>
              </w:rPr>
              <w:t>Chemistry Industry Association of Canada (formerly CCPA)</w:t>
            </w:r>
          </w:p>
        </w:tc>
        <w:tc>
          <w:tcPr>
            <w:tcW w:w="1298" w:type="pct"/>
            <w:tcBorders>
              <w:top w:val="outset" w:sz="6" w:space="0" w:color="auto"/>
              <w:left w:val="outset" w:sz="6" w:space="0" w:color="auto"/>
              <w:bottom w:val="outset" w:sz="6" w:space="0" w:color="auto"/>
              <w:right w:val="outset" w:sz="6" w:space="0" w:color="auto"/>
            </w:tcBorders>
            <w:hideMark/>
          </w:tcPr>
          <w:p w:rsidR="00903FD1" w:rsidRDefault="00903FD1" w:rsidP="008538E6">
            <w:pPr>
              <w:pStyle w:val="NormalWeb"/>
              <w:spacing w:before="0" w:beforeAutospacing="0" w:after="0" w:afterAutospacing="0"/>
              <w:rPr>
                <w:rFonts w:ascii="Arial" w:hAnsi="Arial" w:cs="Arial"/>
                <w:color w:val="797979"/>
                <w:sz w:val="18"/>
                <w:szCs w:val="18"/>
              </w:rPr>
            </w:pPr>
            <w:r>
              <w:rPr>
                <w:rFonts w:ascii="Arial" w:hAnsi="Arial" w:cs="Arial"/>
                <w:color w:val="797979"/>
                <w:sz w:val="18"/>
                <w:szCs w:val="18"/>
              </w:rPr>
              <w:t>Project Team</w:t>
            </w:r>
          </w:p>
        </w:tc>
      </w:tr>
      <w:tr w:rsidR="00903FD1" w:rsidTr="008538E6">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903FD1" w:rsidRDefault="00903FD1" w:rsidP="008538E6">
            <w:pPr>
              <w:pStyle w:val="NormalWeb"/>
              <w:spacing w:before="0" w:beforeAutospacing="0" w:after="0" w:afterAutospacing="0"/>
              <w:rPr>
                <w:rFonts w:ascii="Arial" w:hAnsi="Arial" w:cs="Arial"/>
                <w:color w:val="797979"/>
                <w:sz w:val="18"/>
                <w:szCs w:val="18"/>
              </w:rPr>
            </w:pPr>
            <w:r>
              <w:rPr>
                <w:rFonts w:ascii="Arial" w:hAnsi="Arial" w:cs="Arial"/>
                <w:color w:val="797979"/>
                <w:sz w:val="18"/>
                <w:szCs w:val="18"/>
              </w:rPr>
              <w:t>Forestry</w:t>
            </w:r>
          </w:p>
        </w:tc>
        <w:tc>
          <w:tcPr>
            <w:tcW w:w="2427" w:type="pct"/>
            <w:tcBorders>
              <w:top w:val="outset" w:sz="6" w:space="0" w:color="auto"/>
              <w:left w:val="outset" w:sz="6" w:space="0" w:color="auto"/>
              <w:bottom w:val="outset" w:sz="6" w:space="0" w:color="auto"/>
              <w:right w:val="outset" w:sz="6" w:space="0" w:color="auto"/>
            </w:tcBorders>
            <w:hideMark/>
          </w:tcPr>
          <w:p w:rsidR="00903FD1" w:rsidRDefault="00903FD1" w:rsidP="008538E6">
            <w:pPr>
              <w:pStyle w:val="NormalWeb"/>
              <w:spacing w:before="0" w:beforeAutospacing="0" w:after="0" w:afterAutospacing="0"/>
              <w:rPr>
                <w:rFonts w:ascii="Arial" w:hAnsi="Arial" w:cs="Arial"/>
                <w:color w:val="797979"/>
                <w:sz w:val="18"/>
                <w:szCs w:val="18"/>
              </w:rPr>
            </w:pPr>
            <w:r>
              <w:rPr>
                <w:rFonts w:ascii="Arial" w:hAnsi="Arial" w:cs="Arial"/>
                <w:color w:val="797979"/>
                <w:sz w:val="18"/>
                <w:szCs w:val="18"/>
              </w:rPr>
              <w:t>Calpine Canada</w:t>
            </w:r>
          </w:p>
          <w:p w:rsidR="00903FD1" w:rsidRDefault="00903FD1" w:rsidP="008538E6">
            <w:pPr>
              <w:pStyle w:val="NormalWeb"/>
              <w:spacing w:before="0" w:beforeAutospacing="0" w:after="0" w:afterAutospacing="0"/>
              <w:rPr>
                <w:rFonts w:ascii="Arial" w:hAnsi="Arial" w:cs="Arial"/>
                <w:color w:val="797979"/>
                <w:sz w:val="18"/>
                <w:szCs w:val="18"/>
              </w:rPr>
            </w:pPr>
            <w:r>
              <w:rPr>
                <w:rFonts w:ascii="Arial" w:hAnsi="Arial" w:cs="Arial"/>
                <w:color w:val="797979"/>
                <w:sz w:val="18"/>
                <w:szCs w:val="18"/>
              </w:rPr>
              <w:t>Alberta Forest Products Association</w:t>
            </w:r>
          </w:p>
        </w:tc>
        <w:tc>
          <w:tcPr>
            <w:tcW w:w="1298" w:type="pct"/>
            <w:tcBorders>
              <w:top w:val="outset" w:sz="6" w:space="0" w:color="auto"/>
              <w:left w:val="outset" w:sz="6" w:space="0" w:color="auto"/>
              <w:bottom w:val="outset" w:sz="6" w:space="0" w:color="auto"/>
              <w:right w:val="outset" w:sz="6" w:space="0" w:color="auto"/>
            </w:tcBorders>
          </w:tcPr>
          <w:p w:rsidR="00903FD1" w:rsidRDefault="00903FD1" w:rsidP="008538E6">
            <w:pPr>
              <w:pStyle w:val="NormalWeb"/>
              <w:spacing w:before="0" w:beforeAutospacing="0" w:after="0" w:afterAutospacing="0"/>
              <w:rPr>
                <w:rFonts w:ascii="Arial" w:hAnsi="Arial" w:cs="Arial"/>
                <w:color w:val="797979"/>
                <w:sz w:val="18"/>
                <w:szCs w:val="18"/>
              </w:rPr>
            </w:pPr>
            <w:r>
              <w:rPr>
                <w:rFonts w:ascii="Arial" w:hAnsi="Arial" w:cs="Arial"/>
                <w:color w:val="797979"/>
                <w:sz w:val="18"/>
                <w:szCs w:val="18"/>
              </w:rPr>
              <w:t>Project Team</w:t>
            </w:r>
          </w:p>
        </w:tc>
      </w:tr>
      <w:tr w:rsidR="00903FD1" w:rsidTr="008538E6">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903FD1" w:rsidRDefault="00903FD1" w:rsidP="008538E6">
            <w:pPr>
              <w:pStyle w:val="NormalWeb"/>
              <w:spacing w:before="0" w:beforeAutospacing="0" w:after="0" w:afterAutospacing="0"/>
              <w:rPr>
                <w:rFonts w:ascii="Arial" w:hAnsi="Arial" w:cs="Arial"/>
                <w:color w:val="797979"/>
                <w:sz w:val="18"/>
                <w:szCs w:val="18"/>
              </w:rPr>
            </w:pPr>
            <w:r>
              <w:rPr>
                <w:rFonts w:ascii="Arial" w:hAnsi="Arial" w:cs="Arial"/>
                <w:color w:val="797979"/>
                <w:sz w:val="18"/>
                <w:szCs w:val="18"/>
              </w:rPr>
              <w:t>Mining</w:t>
            </w:r>
          </w:p>
        </w:tc>
        <w:tc>
          <w:tcPr>
            <w:tcW w:w="2427" w:type="pct"/>
            <w:tcBorders>
              <w:top w:val="outset" w:sz="6" w:space="0" w:color="auto"/>
              <w:left w:val="outset" w:sz="6" w:space="0" w:color="auto"/>
              <w:bottom w:val="outset" w:sz="6" w:space="0" w:color="auto"/>
              <w:right w:val="outset" w:sz="6" w:space="0" w:color="auto"/>
            </w:tcBorders>
          </w:tcPr>
          <w:p w:rsidR="00903FD1" w:rsidRDefault="00903FD1" w:rsidP="008538E6">
            <w:pPr>
              <w:pStyle w:val="NormalWeb"/>
              <w:spacing w:before="0" w:beforeAutospacing="0" w:after="0" w:afterAutospacing="0"/>
              <w:rPr>
                <w:rFonts w:ascii="Arial" w:hAnsi="Arial" w:cs="Arial"/>
                <w:color w:val="797979"/>
                <w:sz w:val="18"/>
                <w:szCs w:val="18"/>
              </w:rPr>
            </w:pPr>
            <w:r>
              <w:rPr>
                <w:rFonts w:ascii="Arial" w:hAnsi="Arial" w:cs="Arial"/>
                <w:color w:val="797979"/>
                <w:sz w:val="18"/>
                <w:szCs w:val="18"/>
              </w:rPr>
              <w:t>Coal Association of Canada</w:t>
            </w:r>
          </w:p>
          <w:p w:rsidR="00903FD1" w:rsidRDefault="00903FD1" w:rsidP="008538E6">
            <w:pPr>
              <w:pStyle w:val="NormalWeb"/>
              <w:spacing w:before="0" w:beforeAutospacing="0" w:after="0" w:afterAutospacing="0"/>
              <w:rPr>
                <w:rFonts w:ascii="Arial" w:hAnsi="Arial" w:cs="Arial"/>
                <w:color w:val="797979"/>
                <w:sz w:val="18"/>
                <w:szCs w:val="18"/>
              </w:rPr>
            </w:pPr>
            <w:r>
              <w:rPr>
                <w:rFonts w:ascii="Arial" w:hAnsi="Arial" w:cs="Arial"/>
                <w:color w:val="797979"/>
                <w:sz w:val="18"/>
                <w:szCs w:val="18"/>
              </w:rPr>
              <w:t>Luscar</w:t>
            </w:r>
          </w:p>
        </w:tc>
        <w:tc>
          <w:tcPr>
            <w:tcW w:w="1298" w:type="pct"/>
            <w:tcBorders>
              <w:top w:val="outset" w:sz="6" w:space="0" w:color="auto"/>
              <w:left w:val="outset" w:sz="6" w:space="0" w:color="auto"/>
              <w:bottom w:val="outset" w:sz="6" w:space="0" w:color="auto"/>
              <w:right w:val="outset" w:sz="6" w:space="0" w:color="auto"/>
            </w:tcBorders>
          </w:tcPr>
          <w:p w:rsidR="00903FD1" w:rsidRDefault="00903FD1" w:rsidP="008538E6">
            <w:pPr>
              <w:pStyle w:val="NormalWeb"/>
              <w:spacing w:before="0" w:beforeAutospacing="0" w:after="0" w:afterAutospacing="0"/>
              <w:rPr>
                <w:rFonts w:ascii="Arial" w:hAnsi="Arial" w:cs="Arial"/>
                <w:color w:val="797979"/>
                <w:sz w:val="18"/>
                <w:szCs w:val="18"/>
              </w:rPr>
            </w:pPr>
            <w:r>
              <w:rPr>
                <w:rFonts w:ascii="Arial" w:hAnsi="Arial" w:cs="Arial"/>
                <w:color w:val="797979"/>
                <w:sz w:val="18"/>
                <w:szCs w:val="18"/>
              </w:rPr>
              <w:t>Project Team</w:t>
            </w:r>
          </w:p>
          <w:p w:rsidR="00903FD1" w:rsidRDefault="00903FD1" w:rsidP="008538E6">
            <w:pPr>
              <w:pStyle w:val="NormalWeb"/>
              <w:spacing w:before="0" w:beforeAutospacing="0" w:after="0" w:afterAutospacing="0"/>
              <w:rPr>
                <w:rFonts w:ascii="Arial" w:hAnsi="Arial" w:cs="Arial"/>
                <w:color w:val="797979"/>
                <w:sz w:val="18"/>
                <w:szCs w:val="18"/>
              </w:rPr>
            </w:pPr>
          </w:p>
        </w:tc>
      </w:tr>
      <w:tr w:rsidR="00903FD1" w:rsidTr="008538E6">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903FD1" w:rsidRDefault="00903FD1" w:rsidP="008538E6">
            <w:pPr>
              <w:pStyle w:val="NormalWeb"/>
              <w:spacing w:before="0" w:beforeAutospacing="0" w:after="0" w:afterAutospacing="0"/>
              <w:rPr>
                <w:rFonts w:ascii="Arial" w:hAnsi="Arial" w:cs="Arial"/>
                <w:color w:val="797979"/>
                <w:sz w:val="18"/>
                <w:szCs w:val="18"/>
              </w:rPr>
            </w:pPr>
            <w:r>
              <w:rPr>
                <w:rFonts w:ascii="Arial" w:hAnsi="Arial" w:cs="Arial"/>
                <w:color w:val="797979"/>
                <w:sz w:val="18"/>
                <w:szCs w:val="18"/>
              </w:rPr>
              <w:t>Oil and gas (large producers)</w:t>
            </w:r>
          </w:p>
        </w:tc>
        <w:tc>
          <w:tcPr>
            <w:tcW w:w="2427" w:type="pct"/>
            <w:tcBorders>
              <w:top w:val="outset" w:sz="6" w:space="0" w:color="auto"/>
              <w:left w:val="outset" w:sz="6" w:space="0" w:color="auto"/>
              <w:bottom w:val="outset" w:sz="6" w:space="0" w:color="auto"/>
              <w:right w:val="outset" w:sz="6" w:space="0" w:color="auto"/>
            </w:tcBorders>
            <w:hideMark/>
          </w:tcPr>
          <w:p w:rsidR="00903FD1" w:rsidRDefault="00903FD1" w:rsidP="008538E6">
            <w:pPr>
              <w:pStyle w:val="NormalWeb"/>
              <w:spacing w:before="0" w:beforeAutospacing="0" w:after="0" w:afterAutospacing="0"/>
              <w:rPr>
                <w:rFonts w:ascii="Arial" w:hAnsi="Arial" w:cs="Arial"/>
                <w:color w:val="797979"/>
                <w:sz w:val="18"/>
                <w:szCs w:val="18"/>
              </w:rPr>
            </w:pPr>
            <w:r>
              <w:rPr>
                <w:rFonts w:ascii="Arial" w:hAnsi="Arial" w:cs="Arial"/>
                <w:color w:val="797979"/>
                <w:sz w:val="18"/>
                <w:szCs w:val="18"/>
              </w:rPr>
              <w:t>CAPP</w:t>
            </w:r>
          </w:p>
        </w:tc>
        <w:tc>
          <w:tcPr>
            <w:tcW w:w="1298" w:type="pct"/>
            <w:tcBorders>
              <w:top w:val="outset" w:sz="6" w:space="0" w:color="auto"/>
              <w:left w:val="outset" w:sz="6" w:space="0" w:color="auto"/>
              <w:bottom w:val="outset" w:sz="6" w:space="0" w:color="auto"/>
              <w:right w:val="outset" w:sz="6" w:space="0" w:color="auto"/>
            </w:tcBorders>
            <w:hideMark/>
          </w:tcPr>
          <w:p w:rsidR="00903FD1" w:rsidRDefault="00903FD1" w:rsidP="008538E6">
            <w:pPr>
              <w:pStyle w:val="NormalWeb"/>
              <w:spacing w:before="0" w:beforeAutospacing="0" w:after="0" w:afterAutospacing="0"/>
              <w:rPr>
                <w:rFonts w:ascii="Arial" w:hAnsi="Arial" w:cs="Arial"/>
                <w:color w:val="797979"/>
                <w:sz w:val="18"/>
                <w:szCs w:val="18"/>
              </w:rPr>
            </w:pPr>
            <w:r>
              <w:rPr>
                <w:rFonts w:ascii="Arial" w:hAnsi="Arial" w:cs="Arial"/>
                <w:color w:val="797979"/>
                <w:sz w:val="18"/>
                <w:szCs w:val="18"/>
              </w:rPr>
              <w:t>Project Team</w:t>
            </w:r>
          </w:p>
          <w:p w:rsidR="00903FD1" w:rsidRDefault="00903FD1" w:rsidP="008538E6">
            <w:pPr>
              <w:pStyle w:val="NormalWeb"/>
              <w:spacing w:before="0" w:beforeAutospacing="0" w:after="0" w:afterAutospacing="0"/>
              <w:rPr>
                <w:rFonts w:ascii="Arial" w:hAnsi="Arial" w:cs="Arial"/>
                <w:color w:val="797979"/>
                <w:sz w:val="18"/>
                <w:szCs w:val="18"/>
              </w:rPr>
            </w:pPr>
          </w:p>
        </w:tc>
      </w:tr>
      <w:tr w:rsidR="00903FD1" w:rsidTr="008538E6">
        <w:trPr>
          <w:trHeight w:val="260"/>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903FD1" w:rsidRDefault="00903FD1" w:rsidP="008538E6">
            <w:pPr>
              <w:pStyle w:val="NormalWeb"/>
              <w:spacing w:before="0" w:beforeAutospacing="0" w:after="0" w:afterAutospacing="0"/>
              <w:rPr>
                <w:rFonts w:ascii="Arial" w:hAnsi="Arial" w:cs="Arial"/>
                <w:color w:val="797979"/>
                <w:sz w:val="18"/>
                <w:szCs w:val="18"/>
              </w:rPr>
            </w:pPr>
            <w:r>
              <w:rPr>
                <w:rFonts w:ascii="Arial" w:hAnsi="Arial" w:cs="Arial"/>
                <w:color w:val="797979"/>
                <w:sz w:val="18"/>
                <w:szCs w:val="18"/>
              </w:rPr>
              <w:t>Oil and gas (small producers)</w:t>
            </w:r>
          </w:p>
        </w:tc>
        <w:tc>
          <w:tcPr>
            <w:tcW w:w="2427" w:type="pct"/>
            <w:tcBorders>
              <w:top w:val="outset" w:sz="6" w:space="0" w:color="auto"/>
              <w:left w:val="outset" w:sz="6" w:space="0" w:color="auto"/>
              <w:bottom w:val="outset" w:sz="6" w:space="0" w:color="auto"/>
              <w:right w:val="outset" w:sz="6" w:space="0" w:color="auto"/>
            </w:tcBorders>
            <w:hideMark/>
          </w:tcPr>
          <w:p w:rsidR="00903FD1" w:rsidRDefault="00903FD1" w:rsidP="008538E6">
            <w:pPr>
              <w:pStyle w:val="NormalWeb"/>
              <w:spacing w:before="0" w:beforeAutospacing="0" w:after="0" w:afterAutospacing="0"/>
              <w:rPr>
                <w:rFonts w:ascii="Arial" w:hAnsi="Arial" w:cs="Arial"/>
                <w:color w:val="797979"/>
                <w:sz w:val="18"/>
                <w:szCs w:val="18"/>
              </w:rPr>
            </w:pPr>
          </w:p>
        </w:tc>
        <w:tc>
          <w:tcPr>
            <w:tcW w:w="1298" w:type="pct"/>
            <w:tcBorders>
              <w:top w:val="outset" w:sz="6" w:space="0" w:color="auto"/>
              <w:left w:val="outset" w:sz="6" w:space="0" w:color="auto"/>
              <w:bottom w:val="outset" w:sz="6" w:space="0" w:color="auto"/>
              <w:right w:val="outset" w:sz="6" w:space="0" w:color="auto"/>
            </w:tcBorders>
            <w:hideMark/>
          </w:tcPr>
          <w:p w:rsidR="00903FD1" w:rsidRDefault="00903FD1" w:rsidP="008538E6">
            <w:pPr>
              <w:pStyle w:val="NormalWeb"/>
              <w:spacing w:before="0" w:beforeAutospacing="0" w:after="0" w:afterAutospacing="0"/>
              <w:rPr>
                <w:rFonts w:ascii="Arial" w:hAnsi="Arial" w:cs="Arial"/>
                <w:color w:val="797979"/>
                <w:sz w:val="18"/>
                <w:szCs w:val="18"/>
              </w:rPr>
            </w:pPr>
          </w:p>
        </w:tc>
      </w:tr>
      <w:tr w:rsidR="00903FD1" w:rsidTr="008538E6">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903FD1" w:rsidRDefault="00903FD1" w:rsidP="008538E6">
            <w:pPr>
              <w:pStyle w:val="NormalWeb"/>
              <w:spacing w:before="0" w:beforeAutospacing="0" w:after="0" w:afterAutospacing="0"/>
              <w:rPr>
                <w:rFonts w:ascii="Arial" w:hAnsi="Arial" w:cs="Arial"/>
                <w:color w:val="797979"/>
                <w:sz w:val="18"/>
                <w:szCs w:val="18"/>
              </w:rPr>
            </w:pPr>
            <w:r>
              <w:rPr>
                <w:rFonts w:ascii="Arial" w:hAnsi="Arial" w:cs="Arial"/>
                <w:color w:val="797979"/>
                <w:sz w:val="18"/>
                <w:szCs w:val="18"/>
              </w:rPr>
              <w:t>Petroleum Products</w:t>
            </w:r>
          </w:p>
        </w:tc>
        <w:tc>
          <w:tcPr>
            <w:tcW w:w="2427" w:type="pct"/>
            <w:tcBorders>
              <w:top w:val="outset" w:sz="6" w:space="0" w:color="auto"/>
              <w:left w:val="outset" w:sz="6" w:space="0" w:color="auto"/>
              <w:bottom w:val="outset" w:sz="6" w:space="0" w:color="auto"/>
              <w:right w:val="outset" w:sz="6" w:space="0" w:color="auto"/>
            </w:tcBorders>
            <w:hideMark/>
          </w:tcPr>
          <w:p w:rsidR="00903FD1" w:rsidRDefault="00903FD1" w:rsidP="008538E6">
            <w:pPr>
              <w:rPr>
                <w:rFonts w:ascii="Arial" w:hAnsi="Arial" w:cs="Arial"/>
                <w:color w:val="797979"/>
                <w:sz w:val="18"/>
                <w:szCs w:val="18"/>
              </w:rPr>
            </w:pPr>
            <w:r w:rsidRPr="00D242D8">
              <w:rPr>
                <w:rFonts w:ascii="Arial" w:hAnsi="Arial" w:cs="Arial"/>
                <w:color w:val="797979"/>
                <w:sz w:val="18"/>
                <w:szCs w:val="18"/>
              </w:rPr>
              <w:t xml:space="preserve">Canadian Fuels  </w:t>
            </w:r>
            <w:r>
              <w:rPr>
                <w:rFonts w:ascii="Arial" w:hAnsi="Arial" w:cs="Arial"/>
                <w:color w:val="797979"/>
                <w:sz w:val="18"/>
                <w:szCs w:val="18"/>
              </w:rPr>
              <w:t>(f</w:t>
            </w:r>
            <w:r w:rsidRPr="00D242D8">
              <w:rPr>
                <w:rFonts w:ascii="Arial" w:hAnsi="Arial" w:cs="Arial"/>
                <w:color w:val="797979"/>
                <w:sz w:val="18"/>
                <w:szCs w:val="18"/>
              </w:rPr>
              <w:t>ormerly Canadian Petroleum Products Institute)</w:t>
            </w:r>
          </w:p>
        </w:tc>
        <w:tc>
          <w:tcPr>
            <w:tcW w:w="1298" w:type="pct"/>
            <w:tcBorders>
              <w:top w:val="outset" w:sz="6" w:space="0" w:color="auto"/>
              <w:left w:val="outset" w:sz="6" w:space="0" w:color="auto"/>
              <w:bottom w:val="outset" w:sz="6" w:space="0" w:color="auto"/>
              <w:right w:val="outset" w:sz="6" w:space="0" w:color="auto"/>
            </w:tcBorders>
          </w:tcPr>
          <w:p w:rsidR="00903FD1" w:rsidRDefault="00903FD1" w:rsidP="008538E6">
            <w:pPr>
              <w:pStyle w:val="NormalWeb"/>
              <w:spacing w:before="0" w:beforeAutospacing="0" w:after="0" w:afterAutospacing="0"/>
              <w:rPr>
                <w:rFonts w:ascii="Arial" w:hAnsi="Arial" w:cs="Arial"/>
                <w:color w:val="797979"/>
                <w:sz w:val="18"/>
                <w:szCs w:val="18"/>
              </w:rPr>
            </w:pPr>
            <w:r>
              <w:rPr>
                <w:rFonts w:ascii="Arial" w:hAnsi="Arial" w:cs="Arial"/>
                <w:color w:val="797979"/>
                <w:sz w:val="18"/>
                <w:szCs w:val="18"/>
              </w:rPr>
              <w:t>Project Team</w:t>
            </w:r>
          </w:p>
        </w:tc>
      </w:tr>
      <w:tr w:rsidR="00903FD1" w:rsidTr="008538E6">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903FD1" w:rsidRDefault="00903FD1" w:rsidP="008538E6">
            <w:pPr>
              <w:pStyle w:val="NormalWeb"/>
              <w:spacing w:before="0" w:beforeAutospacing="0" w:after="0" w:afterAutospacing="0"/>
              <w:rPr>
                <w:rFonts w:ascii="Arial" w:hAnsi="Arial" w:cs="Arial"/>
                <w:color w:val="797979"/>
                <w:sz w:val="18"/>
                <w:szCs w:val="18"/>
              </w:rPr>
            </w:pPr>
            <w:r>
              <w:rPr>
                <w:rFonts w:ascii="Arial" w:hAnsi="Arial" w:cs="Arial"/>
                <w:color w:val="797979"/>
                <w:sz w:val="18"/>
                <w:szCs w:val="18"/>
              </w:rPr>
              <w:t>Utilities</w:t>
            </w:r>
          </w:p>
        </w:tc>
        <w:tc>
          <w:tcPr>
            <w:tcW w:w="2427" w:type="pct"/>
            <w:tcBorders>
              <w:top w:val="outset" w:sz="6" w:space="0" w:color="auto"/>
              <w:left w:val="outset" w:sz="6" w:space="0" w:color="auto"/>
              <w:bottom w:val="outset" w:sz="6" w:space="0" w:color="auto"/>
              <w:right w:val="outset" w:sz="6" w:space="0" w:color="auto"/>
            </w:tcBorders>
            <w:hideMark/>
          </w:tcPr>
          <w:p w:rsidR="00903FD1" w:rsidRDefault="00903FD1" w:rsidP="008538E6">
            <w:pPr>
              <w:pStyle w:val="NormalWeb"/>
              <w:spacing w:before="0" w:beforeAutospacing="0" w:after="0" w:afterAutospacing="0"/>
              <w:rPr>
                <w:rFonts w:ascii="Arial" w:hAnsi="Arial" w:cs="Arial"/>
                <w:color w:val="797979"/>
                <w:sz w:val="18"/>
                <w:szCs w:val="18"/>
              </w:rPr>
            </w:pPr>
            <w:r>
              <w:rPr>
                <w:rFonts w:ascii="Arial" w:hAnsi="Arial" w:cs="Arial"/>
                <w:color w:val="797979"/>
                <w:sz w:val="18"/>
                <w:szCs w:val="18"/>
              </w:rPr>
              <w:t>TransAlta Corporation</w:t>
            </w:r>
          </w:p>
          <w:p w:rsidR="00903FD1" w:rsidRDefault="00903FD1" w:rsidP="008538E6">
            <w:pPr>
              <w:pStyle w:val="NormalWeb"/>
              <w:spacing w:before="0" w:beforeAutospacing="0" w:after="0" w:afterAutospacing="0"/>
              <w:rPr>
                <w:rFonts w:ascii="Arial" w:hAnsi="Arial" w:cs="Arial"/>
                <w:color w:val="797979"/>
                <w:sz w:val="18"/>
                <w:szCs w:val="18"/>
              </w:rPr>
            </w:pPr>
            <w:r>
              <w:rPr>
                <w:rFonts w:ascii="Arial" w:hAnsi="Arial" w:cs="Arial"/>
                <w:color w:val="797979"/>
                <w:sz w:val="18"/>
                <w:szCs w:val="18"/>
              </w:rPr>
              <w:t>ATCO Power Canada Ltd</w:t>
            </w:r>
          </w:p>
          <w:p w:rsidR="00903FD1" w:rsidRDefault="00903FD1" w:rsidP="008538E6">
            <w:pPr>
              <w:pStyle w:val="NormalWeb"/>
              <w:spacing w:before="0" w:beforeAutospacing="0" w:after="0" w:afterAutospacing="0"/>
              <w:rPr>
                <w:rFonts w:ascii="Arial" w:hAnsi="Arial" w:cs="Arial"/>
                <w:color w:val="797979"/>
                <w:sz w:val="18"/>
                <w:szCs w:val="18"/>
              </w:rPr>
            </w:pPr>
            <w:r>
              <w:rPr>
                <w:rFonts w:ascii="Arial" w:hAnsi="Arial" w:cs="Arial"/>
                <w:color w:val="797979"/>
                <w:sz w:val="18"/>
                <w:szCs w:val="18"/>
              </w:rPr>
              <w:t>Capital Power</w:t>
            </w:r>
          </w:p>
          <w:p w:rsidR="00903FD1" w:rsidRDefault="00903FD1" w:rsidP="008538E6">
            <w:pPr>
              <w:pStyle w:val="NormalWeb"/>
              <w:spacing w:before="0" w:beforeAutospacing="0" w:after="0" w:afterAutospacing="0"/>
              <w:rPr>
                <w:rFonts w:ascii="Arial" w:hAnsi="Arial" w:cs="Arial"/>
                <w:color w:val="797979"/>
                <w:sz w:val="18"/>
                <w:szCs w:val="18"/>
              </w:rPr>
            </w:pPr>
            <w:r>
              <w:rPr>
                <w:rFonts w:ascii="Arial" w:hAnsi="Arial" w:cs="Arial"/>
                <w:color w:val="797979"/>
                <w:sz w:val="18"/>
                <w:szCs w:val="18"/>
              </w:rPr>
              <w:t>TransCanada</w:t>
            </w:r>
          </w:p>
        </w:tc>
        <w:tc>
          <w:tcPr>
            <w:tcW w:w="1298" w:type="pct"/>
            <w:tcBorders>
              <w:top w:val="outset" w:sz="6" w:space="0" w:color="auto"/>
              <w:left w:val="outset" w:sz="6" w:space="0" w:color="auto"/>
              <w:bottom w:val="outset" w:sz="6" w:space="0" w:color="auto"/>
              <w:right w:val="outset" w:sz="6" w:space="0" w:color="auto"/>
            </w:tcBorders>
            <w:hideMark/>
          </w:tcPr>
          <w:p w:rsidR="00903FD1" w:rsidRDefault="00903FD1" w:rsidP="008538E6">
            <w:pPr>
              <w:pStyle w:val="NormalWeb"/>
              <w:spacing w:before="0" w:beforeAutospacing="0" w:after="0" w:afterAutospacing="0"/>
              <w:rPr>
                <w:rFonts w:ascii="Arial" w:hAnsi="Arial" w:cs="Arial"/>
                <w:color w:val="797979"/>
                <w:sz w:val="18"/>
                <w:szCs w:val="18"/>
              </w:rPr>
            </w:pPr>
            <w:r>
              <w:rPr>
                <w:rFonts w:ascii="Arial" w:hAnsi="Arial" w:cs="Arial"/>
                <w:color w:val="797979"/>
                <w:sz w:val="18"/>
                <w:szCs w:val="18"/>
              </w:rPr>
              <w:t>Project Team</w:t>
            </w:r>
            <w:r>
              <w:rPr>
                <w:rFonts w:ascii="Arial" w:hAnsi="Arial" w:cs="Arial"/>
                <w:color w:val="797979"/>
                <w:sz w:val="18"/>
                <w:szCs w:val="18"/>
              </w:rPr>
              <w:br/>
            </w:r>
          </w:p>
        </w:tc>
      </w:tr>
      <w:tr w:rsidR="00903FD1" w:rsidTr="008538E6">
        <w:trPr>
          <w:tblCellSpacing w:w="7" w:type="dxa"/>
        </w:trPr>
        <w:tc>
          <w:tcPr>
            <w:tcW w:w="0" w:type="auto"/>
            <w:tcBorders>
              <w:top w:val="outset" w:sz="6" w:space="0" w:color="auto"/>
              <w:left w:val="outset" w:sz="6" w:space="0" w:color="auto"/>
              <w:bottom w:val="outset" w:sz="6" w:space="0" w:color="auto"/>
              <w:right w:val="outset" w:sz="6" w:space="0" w:color="auto"/>
            </w:tcBorders>
          </w:tcPr>
          <w:p w:rsidR="00903FD1" w:rsidRDefault="00903FD1" w:rsidP="008538E6">
            <w:pPr>
              <w:pStyle w:val="NormalWeb"/>
              <w:spacing w:before="0" w:beforeAutospacing="0" w:after="0" w:afterAutospacing="0"/>
              <w:rPr>
                <w:rFonts w:ascii="Arial" w:hAnsi="Arial" w:cs="Arial"/>
                <w:color w:val="797979"/>
                <w:sz w:val="18"/>
                <w:szCs w:val="18"/>
              </w:rPr>
            </w:pPr>
            <w:r>
              <w:rPr>
                <w:rFonts w:ascii="Arial" w:hAnsi="Arial" w:cs="Arial"/>
                <w:color w:val="797979"/>
                <w:sz w:val="18"/>
                <w:szCs w:val="18"/>
              </w:rPr>
              <w:t>Other</w:t>
            </w:r>
          </w:p>
        </w:tc>
        <w:tc>
          <w:tcPr>
            <w:tcW w:w="2427" w:type="pct"/>
            <w:tcBorders>
              <w:top w:val="outset" w:sz="6" w:space="0" w:color="auto"/>
              <w:left w:val="outset" w:sz="6" w:space="0" w:color="auto"/>
              <w:bottom w:val="outset" w:sz="6" w:space="0" w:color="auto"/>
              <w:right w:val="outset" w:sz="6" w:space="0" w:color="auto"/>
            </w:tcBorders>
          </w:tcPr>
          <w:p w:rsidR="00903FD1" w:rsidRDefault="00903FD1" w:rsidP="008538E6">
            <w:pPr>
              <w:pStyle w:val="NormalWeb"/>
              <w:spacing w:before="0" w:beforeAutospacing="0" w:after="0" w:afterAutospacing="0"/>
              <w:rPr>
                <w:rFonts w:ascii="Arial" w:hAnsi="Arial" w:cs="Arial"/>
                <w:color w:val="797979"/>
                <w:sz w:val="18"/>
                <w:szCs w:val="18"/>
              </w:rPr>
            </w:pPr>
            <w:r>
              <w:rPr>
                <w:rFonts w:ascii="Arial" w:hAnsi="Arial" w:cs="Arial"/>
                <w:color w:val="797979"/>
                <w:sz w:val="18"/>
                <w:szCs w:val="18"/>
              </w:rPr>
              <w:t>Power Purchase Arrangement Buyers</w:t>
            </w:r>
          </w:p>
          <w:p w:rsidR="00903FD1" w:rsidRDefault="00903FD1" w:rsidP="008538E6">
            <w:pPr>
              <w:pStyle w:val="NormalWeb"/>
              <w:spacing w:before="0" w:beforeAutospacing="0" w:after="0" w:afterAutospacing="0"/>
              <w:rPr>
                <w:rFonts w:ascii="Arial" w:hAnsi="Arial" w:cs="Arial"/>
                <w:color w:val="797979"/>
                <w:sz w:val="18"/>
                <w:szCs w:val="18"/>
              </w:rPr>
            </w:pPr>
          </w:p>
        </w:tc>
        <w:tc>
          <w:tcPr>
            <w:tcW w:w="1298" w:type="pct"/>
            <w:tcBorders>
              <w:top w:val="outset" w:sz="6" w:space="0" w:color="auto"/>
              <w:left w:val="outset" w:sz="6" w:space="0" w:color="auto"/>
              <w:bottom w:val="outset" w:sz="6" w:space="0" w:color="auto"/>
              <w:right w:val="outset" w:sz="6" w:space="0" w:color="auto"/>
            </w:tcBorders>
          </w:tcPr>
          <w:p w:rsidR="00903FD1" w:rsidRDefault="00903FD1" w:rsidP="008538E6">
            <w:pPr>
              <w:pStyle w:val="NormalWeb"/>
              <w:spacing w:before="0" w:beforeAutospacing="0" w:after="0" w:afterAutospacing="0"/>
              <w:rPr>
                <w:rFonts w:ascii="Arial" w:hAnsi="Arial" w:cs="Arial"/>
                <w:color w:val="797979"/>
                <w:sz w:val="18"/>
                <w:szCs w:val="18"/>
              </w:rPr>
            </w:pPr>
            <w:r>
              <w:rPr>
                <w:rFonts w:ascii="Arial" w:hAnsi="Arial" w:cs="Arial"/>
                <w:color w:val="797979"/>
                <w:sz w:val="18"/>
                <w:szCs w:val="18"/>
              </w:rPr>
              <w:t>Project Team</w:t>
            </w:r>
          </w:p>
        </w:tc>
      </w:tr>
    </w:tbl>
    <w:p w:rsidR="005A56D7" w:rsidRDefault="005A56D7" w:rsidP="00903FD1"/>
    <w:p w:rsidR="00903FD1" w:rsidRDefault="005A56D7" w:rsidP="00C93D3F">
      <w:pPr>
        <w:spacing w:after="200" w:line="276" w:lineRule="auto"/>
      </w:pPr>
      <w:r>
        <w:br w:type="page"/>
      </w:r>
    </w:p>
    <w:tbl>
      <w:tblPr>
        <w:tblpPr w:leftFromText="45" w:rightFromText="45" w:vertAnchor="text"/>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371"/>
        <w:gridCol w:w="4603"/>
        <w:gridCol w:w="2474"/>
      </w:tblGrid>
      <w:tr w:rsidR="00903FD1" w:rsidTr="008538E6">
        <w:trPr>
          <w:tblCellSpacing w:w="7"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CCCCCC"/>
            <w:noWrap/>
            <w:hideMark/>
          </w:tcPr>
          <w:p w:rsidR="00903FD1" w:rsidRDefault="00903FD1" w:rsidP="008538E6">
            <w:pPr>
              <w:pStyle w:val="Heading3"/>
              <w:spacing w:before="0"/>
              <w:jc w:val="center"/>
            </w:pPr>
            <w:bookmarkStart w:id="16" w:name="_Toc350177530"/>
            <w:r>
              <w:lastRenderedPageBreak/>
              <w:t>Non-Government Organizations</w:t>
            </w:r>
            <w:bookmarkEnd w:id="16"/>
          </w:p>
          <w:p w:rsidR="00903FD1" w:rsidRPr="005F31EC" w:rsidRDefault="00903FD1" w:rsidP="008538E6"/>
        </w:tc>
      </w:tr>
      <w:tr w:rsidR="00903FD1" w:rsidTr="008538E6">
        <w:trPr>
          <w:tblCellSpacing w:w="7" w:type="dxa"/>
        </w:trPr>
        <w:tc>
          <w:tcPr>
            <w:tcW w:w="1244" w:type="pct"/>
            <w:tcBorders>
              <w:top w:val="outset" w:sz="6" w:space="0" w:color="auto"/>
              <w:left w:val="outset" w:sz="6" w:space="0" w:color="auto"/>
              <w:bottom w:val="outset" w:sz="6" w:space="0" w:color="auto"/>
              <w:right w:val="outset" w:sz="6" w:space="0" w:color="auto"/>
            </w:tcBorders>
            <w:hideMark/>
          </w:tcPr>
          <w:p w:rsidR="00903FD1" w:rsidRDefault="00903FD1" w:rsidP="008538E6">
            <w:pPr>
              <w:pStyle w:val="NormalWeb"/>
              <w:spacing w:before="0" w:beforeAutospacing="0" w:after="0" w:afterAutospacing="0"/>
              <w:rPr>
                <w:rFonts w:ascii="Arial" w:hAnsi="Arial" w:cs="Arial"/>
                <w:color w:val="797979"/>
                <w:sz w:val="18"/>
                <w:szCs w:val="18"/>
              </w:rPr>
            </w:pPr>
            <w:r>
              <w:rPr>
                <w:rFonts w:ascii="Arial" w:hAnsi="Arial" w:cs="Arial"/>
                <w:color w:val="797979"/>
                <w:sz w:val="18"/>
                <w:szCs w:val="18"/>
              </w:rPr>
              <w:t>Health Issues</w:t>
            </w:r>
          </w:p>
        </w:tc>
        <w:tc>
          <w:tcPr>
            <w:tcW w:w="2429" w:type="pct"/>
            <w:tcBorders>
              <w:top w:val="outset" w:sz="6" w:space="0" w:color="auto"/>
              <w:left w:val="outset" w:sz="6" w:space="0" w:color="auto"/>
              <w:bottom w:val="outset" w:sz="6" w:space="0" w:color="auto"/>
              <w:right w:val="outset" w:sz="6" w:space="0" w:color="auto"/>
            </w:tcBorders>
            <w:hideMark/>
          </w:tcPr>
          <w:p w:rsidR="00903FD1" w:rsidRDefault="00903FD1" w:rsidP="008538E6">
            <w:pPr>
              <w:pStyle w:val="NormalWeb"/>
              <w:spacing w:before="0" w:beforeAutospacing="0" w:after="0" w:afterAutospacing="0"/>
              <w:rPr>
                <w:rFonts w:ascii="Arial" w:hAnsi="Arial" w:cs="Arial"/>
                <w:color w:val="797979"/>
                <w:sz w:val="18"/>
                <w:szCs w:val="18"/>
              </w:rPr>
            </w:pPr>
            <w:r>
              <w:rPr>
                <w:rFonts w:ascii="Arial" w:hAnsi="Arial" w:cs="Arial"/>
                <w:color w:val="797979"/>
                <w:sz w:val="18"/>
                <w:szCs w:val="18"/>
              </w:rPr>
              <w:t>Canadian Public Health Association</w:t>
            </w:r>
          </w:p>
          <w:p w:rsidR="00903FD1" w:rsidRDefault="00903FD1" w:rsidP="008538E6">
            <w:pPr>
              <w:pStyle w:val="NormalWeb"/>
              <w:spacing w:before="0" w:beforeAutospacing="0" w:after="0" w:afterAutospacing="0"/>
              <w:rPr>
                <w:rFonts w:ascii="Arial" w:hAnsi="Arial" w:cs="Arial"/>
                <w:color w:val="797979"/>
                <w:sz w:val="18"/>
                <w:szCs w:val="18"/>
              </w:rPr>
            </w:pPr>
          </w:p>
        </w:tc>
        <w:tc>
          <w:tcPr>
            <w:tcW w:w="1298" w:type="pct"/>
            <w:tcBorders>
              <w:top w:val="outset" w:sz="6" w:space="0" w:color="auto"/>
              <w:left w:val="outset" w:sz="6" w:space="0" w:color="auto"/>
              <w:bottom w:val="outset" w:sz="6" w:space="0" w:color="auto"/>
              <w:right w:val="outset" w:sz="6" w:space="0" w:color="auto"/>
            </w:tcBorders>
            <w:hideMark/>
          </w:tcPr>
          <w:p w:rsidR="00903FD1" w:rsidRDefault="00903FD1" w:rsidP="008538E6">
            <w:pPr>
              <w:pStyle w:val="NormalWeb"/>
              <w:spacing w:before="0" w:beforeAutospacing="0" w:after="0" w:afterAutospacing="0"/>
              <w:rPr>
                <w:rFonts w:ascii="Arial" w:hAnsi="Arial" w:cs="Arial"/>
                <w:color w:val="797979"/>
                <w:sz w:val="18"/>
                <w:szCs w:val="18"/>
              </w:rPr>
            </w:pPr>
            <w:r>
              <w:rPr>
                <w:rFonts w:ascii="Arial" w:hAnsi="Arial" w:cs="Arial"/>
                <w:color w:val="797979"/>
                <w:sz w:val="18"/>
                <w:szCs w:val="18"/>
              </w:rPr>
              <w:t>Project Team</w:t>
            </w:r>
          </w:p>
        </w:tc>
      </w:tr>
      <w:tr w:rsidR="00903FD1" w:rsidTr="008538E6">
        <w:trPr>
          <w:tblCellSpacing w:w="7" w:type="dxa"/>
        </w:trPr>
        <w:tc>
          <w:tcPr>
            <w:tcW w:w="1244" w:type="pct"/>
            <w:tcBorders>
              <w:top w:val="outset" w:sz="6" w:space="0" w:color="auto"/>
              <w:left w:val="outset" w:sz="6" w:space="0" w:color="auto"/>
              <w:bottom w:val="outset" w:sz="6" w:space="0" w:color="auto"/>
              <w:right w:val="outset" w:sz="6" w:space="0" w:color="auto"/>
            </w:tcBorders>
            <w:hideMark/>
          </w:tcPr>
          <w:p w:rsidR="00903FD1" w:rsidRDefault="00903FD1" w:rsidP="008538E6">
            <w:pPr>
              <w:pStyle w:val="NormalWeb"/>
              <w:spacing w:before="0" w:beforeAutospacing="0" w:after="0" w:afterAutospacing="0"/>
              <w:rPr>
                <w:rFonts w:ascii="Arial" w:hAnsi="Arial" w:cs="Arial"/>
                <w:color w:val="797979"/>
                <w:sz w:val="18"/>
                <w:szCs w:val="18"/>
              </w:rPr>
            </w:pPr>
            <w:r>
              <w:rPr>
                <w:rFonts w:ascii="Arial" w:hAnsi="Arial" w:cs="Arial"/>
                <w:color w:val="797979"/>
                <w:sz w:val="18"/>
                <w:szCs w:val="18"/>
              </w:rPr>
              <w:t>Pollution Issues</w:t>
            </w:r>
          </w:p>
        </w:tc>
        <w:tc>
          <w:tcPr>
            <w:tcW w:w="2429" w:type="pct"/>
            <w:tcBorders>
              <w:top w:val="outset" w:sz="6" w:space="0" w:color="auto"/>
              <w:left w:val="outset" w:sz="6" w:space="0" w:color="auto"/>
              <w:bottom w:val="outset" w:sz="6" w:space="0" w:color="auto"/>
              <w:right w:val="outset" w:sz="6" w:space="0" w:color="auto"/>
            </w:tcBorders>
            <w:hideMark/>
          </w:tcPr>
          <w:p w:rsidR="00903FD1" w:rsidRDefault="00903FD1" w:rsidP="008538E6">
            <w:pPr>
              <w:pStyle w:val="NormalWeb"/>
              <w:spacing w:before="0" w:beforeAutospacing="0" w:after="0" w:afterAutospacing="0"/>
              <w:rPr>
                <w:rFonts w:ascii="Arial" w:hAnsi="Arial" w:cs="Arial"/>
                <w:color w:val="797979"/>
                <w:sz w:val="18"/>
                <w:szCs w:val="18"/>
              </w:rPr>
            </w:pPr>
            <w:r>
              <w:rPr>
                <w:rFonts w:ascii="Arial" w:hAnsi="Arial" w:cs="Arial"/>
                <w:color w:val="797979"/>
                <w:sz w:val="18"/>
                <w:szCs w:val="18"/>
              </w:rPr>
              <w:t xml:space="preserve">Pembina Institute </w:t>
            </w:r>
          </w:p>
          <w:p w:rsidR="00903FD1" w:rsidRDefault="00903FD1" w:rsidP="008538E6">
            <w:pPr>
              <w:pStyle w:val="NormalWeb"/>
              <w:spacing w:before="0" w:beforeAutospacing="0" w:after="0" w:afterAutospacing="0"/>
              <w:rPr>
                <w:rFonts w:ascii="Arial" w:hAnsi="Arial" w:cs="Arial"/>
                <w:color w:val="797979"/>
                <w:sz w:val="18"/>
                <w:szCs w:val="18"/>
              </w:rPr>
            </w:pPr>
            <w:r>
              <w:rPr>
                <w:rFonts w:ascii="Arial" w:hAnsi="Arial" w:cs="Arial"/>
                <w:color w:val="797979"/>
                <w:sz w:val="18"/>
                <w:szCs w:val="18"/>
              </w:rPr>
              <w:t>Mewassin Community Council</w:t>
            </w:r>
            <w:r>
              <w:rPr>
                <w:rFonts w:ascii="Arial" w:hAnsi="Arial" w:cs="Arial"/>
                <w:color w:val="797979"/>
                <w:sz w:val="18"/>
                <w:szCs w:val="18"/>
              </w:rPr>
              <w:br/>
              <w:t>Lake Wabamun Enhancement Protection Association</w:t>
            </w:r>
          </w:p>
          <w:p w:rsidR="00903FD1" w:rsidRDefault="00903FD1" w:rsidP="008538E6">
            <w:pPr>
              <w:pStyle w:val="NormalWeb"/>
              <w:spacing w:before="0" w:beforeAutospacing="0" w:after="0" w:afterAutospacing="0"/>
              <w:rPr>
                <w:rFonts w:ascii="Arial" w:hAnsi="Arial" w:cs="Arial"/>
                <w:color w:val="797979"/>
                <w:sz w:val="18"/>
                <w:szCs w:val="18"/>
              </w:rPr>
            </w:pPr>
            <w:r>
              <w:rPr>
                <w:rFonts w:ascii="Arial" w:hAnsi="Arial" w:cs="Arial"/>
                <w:color w:val="797979"/>
                <w:sz w:val="18"/>
                <w:szCs w:val="18"/>
              </w:rPr>
              <w:t>Toxics Watch</w:t>
            </w:r>
          </w:p>
        </w:tc>
        <w:tc>
          <w:tcPr>
            <w:tcW w:w="1298" w:type="pct"/>
            <w:tcBorders>
              <w:top w:val="outset" w:sz="6" w:space="0" w:color="auto"/>
              <w:left w:val="outset" w:sz="6" w:space="0" w:color="auto"/>
              <w:bottom w:val="outset" w:sz="6" w:space="0" w:color="auto"/>
              <w:right w:val="outset" w:sz="6" w:space="0" w:color="auto"/>
            </w:tcBorders>
            <w:hideMark/>
          </w:tcPr>
          <w:p w:rsidR="00903FD1" w:rsidRDefault="00903FD1" w:rsidP="008538E6">
            <w:pPr>
              <w:pStyle w:val="NormalWeb"/>
              <w:spacing w:before="0" w:beforeAutospacing="0" w:after="0" w:afterAutospacing="0"/>
              <w:rPr>
                <w:rFonts w:ascii="Arial" w:hAnsi="Arial" w:cs="Arial"/>
                <w:color w:val="797979"/>
                <w:sz w:val="18"/>
                <w:szCs w:val="18"/>
              </w:rPr>
            </w:pPr>
            <w:r>
              <w:rPr>
                <w:rFonts w:ascii="Arial" w:hAnsi="Arial" w:cs="Arial"/>
                <w:color w:val="797979"/>
                <w:sz w:val="18"/>
                <w:szCs w:val="18"/>
              </w:rPr>
              <w:t>Project Team</w:t>
            </w:r>
          </w:p>
        </w:tc>
      </w:tr>
      <w:tr w:rsidR="00903FD1" w:rsidTr="008538E6">
        <w:trPr>
          <w:tblCellSpacing w:w="7" w:type="dxa"/>
        </w:trPr>
        <w:tc>
          <w:tcPr>
            <w:tcW w:w="1244" w:type="pct"/>
            <w:tcBorders>
              <w:top w:val="outset" w:sz="6" w:space="0" w:color="auto"/>
              <w:left w:val="outset" w:sz="6" w:space="0" w:color="auto"/>
              <w:bottom w:val="outset" w:sz="6" w:space="0" w:color="auto"/>
              <w:right w:val="outset" w:sz="6" w:space="0" w:color="auto"/>
            </w:tcBorders>
            <w:hideMark/>
          </w:tcPr>
          <w:p w:rsidR="00903FD1" w:rsidRDefault="00903FD1" w:rsidP="008538E6">
            <w:pPr>
              <w:pStyle w:val="NormalWeb"/>
              <w:spacing w:before="0" w:beforeAutospacing="0" w:after="0" w:afterAutospacing="0"/>
              <w:rPr>
                <w:rFonts w:ascii="Arial" w:hAnsi="Arial" w:cs="Arial"/>
                <w:color w:val="797979"/>
                <w:sz w:val="18"/>
                <w:szCs w:val="18"/>
              </w:rPr>
            </w:pPr>
            <w:r>
              <w:rPr>
                <w:rFonts w:ascii="Arial" w:hAnsi="Arial" w:cs="Arial"/>
                <w:color w:val="797979"/>
                <w:sz w:val="18"/>
                <w:szCs w:val="18"/>
              </w:rPr>
              <w:t>Wilderness Issues</w:t>
            </w:r>
          </w:p>
        </w:tc>
        <w:tc>
          <w:tcPr>
            <w:tcW w:w="2429" w:type="pct"/>
            <w:tcBorders>
              <w:top w:val="outset" w:sz="6" w:space="0" w:color="auto"/>
              <w:left w:val="outset" w:sz="6" w:space="0" w:color="auto"/>
              <w:bottom w:val="outset" w:sz="6" w:space="0" w:color="auto"/>
              <w:right w:val="outset" w:sz="6" w:space="0" w:color="auto"/>
            </w:tcBorders>
            <w:hideMark/>
          </w:tcPr>
          <w:p w:rsidR="00903FD1" w:rsidRDefault="00903FD1" w:rsidP="008538E6">
            <w:pPr>
              <w:pStyle w:val="NormalWeb"/>
              <w:spacing w:before="0" w:beforeAutospacing="0" w:after="0" w:afterAutospacing="0"/>
              <w:rPr>
                <w:rFonts w:ascii="Arial" w:hAnsi="Arial" w:cs="Arial"/>
                <w:color w:val="797979"/>
                <w:sz w:val="18"/>
                <w:szCs w:val="18"/>
              </w:rPr>
            </w:pPr>
            <w:r>
              <w:rPr>
                <w:rFonts w:ascii="Arial" w:hAnsi="Arial" w:cs="Arial"/>
                <w:color w:val="797979"/>
                <w:sz w:val="18"/>
                <w:szCs w:val="18"/>
              </w:rPr>
              <w:t>Prairie Acid Rain Coalition</w:t>
            </w:r>
          </w:p>
          <w:p w:rsidR="00903FD1" w:rsidRDefault="00903FD1" w:rsidP="008538E6">
            <w:pPr>
              <w:pStyle w:val="NormalWeb"/>
              <w:spacing w:before="0" w:beforeAutospacing="0" w:after="0" w:afterAutospacing="0"/>
              <w:rPr>
                <w:rFonts w:ascii="Arial" w:hAnsi="Arial" w:cs="Arial"/>
                <w:color w:val="797979"/>
                <w:sz w:val="18"/>
                <w:szCs w:val="18"/>
              </w:rPr>
            </w:pPr>
            <w:r>
              <w:rPr>
                <w:rFonts w:ascii="Arial" w:hAnsi="Arial" w:cs="Arial"/>
                <w:color w:val="797979"/>
                <w:sz w:val="18"/>
                <w:szCs w:val="18"/>
              </w:rPr>
              <w:t>Western Canadian Wilderness Committee</w:t>
            </w:r>
          </w:p>
        </w:tc>
        <w:tc>
          <w:tcPr>
            <w:tcW w:w="1298" w:type="pct"/>
            <w:tcBorders>
              <w:top w:val="outset" w:sz="6" w:space="0" w:color="auto"/>
              <w:left w:val="outset" w:sz="6" w:space="0" w:color="auto"/>
              <w:bottom w:val="outset" w:sz="6" w:space="0" w:color="auto"/>
              <w:right w:val="outset" w:sz="6" w:space="0" w:color="auto"/>
            </w:tcBorders>
            <w:hideMark/>
          </w:tcPr>
          <w:p w:rsidR="00903FD1" w:rsidRDefault="008812BC" w:rsidP="008538E6">
            <w:pPr>
              <w:pStyle w:val="NormalWeb"/>
              <w:spacing w:before="0" w:beforeAutospacing="0" w:after="0" w:afterAutospacing="0"/>
              <w:rPr>
                <w:rFonts w:ascii="Arial" w:hAnsi="Arial" w:cs="Arial"/>
                <w:color w:val="797979"/>
                <w:sz w:val="18"/>
                <w:szCs w:val="18"/>
              </w:rPr>
            </w:pPr>
            <w:r>
              <w:rPr>
                <w:rFonts w:ascii="Arial" w:hAnsi="Arial" w:cs="Arial"/>
                <w:color w:val="797979"/>
                <w:sz w:val="18"/>
                <w:szCs w:val="18"/>
              </w:rPr>
              <w:t>Project Team</w:t>
            </w:r>
          </w:p>
          <w:p w:rsidR="008812BC" w:rsidRDefault="008812BC" w:rsidP="008538E6">
            <w:pPr>
              <w:pStyle w:val="NormalWeb"/>
              <w:spacing w:before="0" w:beforeAutospacing="0" w:after="0" w:afterAutospacing="0"/>
              <w:rPr>
                <w:rFonts w:ascii="Arial" w:hAnsi="Arial" w:cs="Arial"/>
                <w:color w:val="797979"/>
                <w:sz w:val="18"/>
                <w:szCs w:val="18"/>
              </w:rPr>
            </w:pPr>
            <w:r>
              <w:rPr>
                <w:rFonts w:ascii="Arial" w:hAnsi="Arial" w:cs="Arial"/>
                <w:color w:val="797979"/>
                <w:sz w:val="18"/>
                <w:szCs w:val="18"/>
              </w:rPr>
              <w:t>Sub-Group</w:t>
            </w:r>
          </w:p>
        </w:tc>
      </w:tr>
      <w:tr w:rsidR="00903FD1" w:rsidTr="008538E6">
        <w:trPr>
          <w:tblCellSpacing w:w="7" w:type="dxa"/>
        </w:trPr>
        <w:tc>
          <w:tcPr>
            <w:tcW w:w="1244" w:type="pct"/>
            <w:tcBorders>
              <w:top w:val="outset" w:sz="6" w:space="0" w:color="auto"/>
              <w:left w:val="outset" w:sz="6" w:space="0" w:color="auto"/>
              <w:bottom w:val="outset" w:sz="6" w:space="0" w:color="auto"/>
              <w:right w:val="outset" w:sz="6" w:space="0" w:color="auto"/>
            </w:tcBorders>
            <w:hideMark/>
          </w:tcPr>
          <w:p w:rsidR="00903FD1" w:rsidRDefault="00903FD1" w:rsidP="008538E6">
            <w:pPr>
              <w:pStyle w:val="NormalWeb"/>
              <w:spacing w:before="0" w:beforeAutospacing="0" w:after="0" w:afterAutospacing="0"/>
              <w:rPr>
                <w:rFonts w:ascii="Arial" w:hAnsi="Arial" w:cs="Arial"/>
                <w:color w:val="797979"/>
                <w:sz w:val="18"/>
                <w:szCs w:val="18"/>
              </w:rPr>
            </w:pPr>
            <w:r>
              <w:rPr>
                <w:rFonts w:ascii="Arial" w:hAnsi="Arial" w:cs="Arial"/>
                <w:color w:val="797979"/>
                <w:sz w:val="18"/>
                <w:szCs w:val="18"/>
              </w:rPr>
              <w:t>Consumer/Transportation</w:t>
            </w:r>
          </w:p>
        </w:tc>
        <w:tc>
          <w:tcPr>
            <w:tcW w:w="2429" w:type="pct"/>
            <w:tcBorders>
              <w:top w:val="outset" w:sz="6" w:space="0" w:color="auto"/>
              <w:left w:val="outset" w:sz="6" w:space="0" w:color="auto"/>
              <w:bottom w:val="outset" w:sz="6" w:space="0" w:color="auto"/>
              <w:right w:val="outset" w:sz="6" w:space="0" w:color="auto"/>
            </w:tcBorders>
            <w:hideMark/>
          </w:tcPr>
          <w:p w:rsidR="00903FD1" w:rsidRDefault="00903FD1" w:rsidP="008538E6">
            <w:pPr>
              <w:pStyle w:val="NormalWeb"/>
              <w:spacing w:before="0" w:beforeAutospacing="0" w:after="0" w:afterAutospacing="0"/>
              <w:rPr>
                <w:rFonts w:ascii="Arial" w:hAnsi="Arial" w:cs="Arial"/>
                <w:color w:val="797979"/>
                <w:sz w:val="18"/>
                <w:szCs w:val="18"/>
              </w:rPr>
            </w:pPr>
            <w:r>
              <w:rPr>
                <w:rFonts w:ascii="Arial" w:hAnsi="Arial" w:cs="Arial"/>
                <w:color w:val="797979"/>
                <w:sz w:val="18"/>
                <w:szCs w:val="18"/>
              </w:rPr>
              <w:t>Climate Change Central</w:t>
            </w:r>
          </w:p>
        </w:tc>
        <w:tc>
          <w:tcPr>
            <w:tcW w:w="1298" w:type="pct"/>
            <w:tcBorders>
              <w:top w:val="outset" w:sz="6" w:space="0" w:color="auto"/>
              <w:left w:val="outset" w:sz="6" w:space="0" w:color="auto"/>
              <w:bottom w:val="outset" w:sz="6" w:space="0" w:color="auto"/>
              <w:right w:val="outset" w:sz="6" w:space="0" w:color="auto"/>
            </w:tcBorders>
            <w:hideMark/>
          </w:tcPr>
          <w:p w:rsidR="00903FD1" w:rsidRDefault="00903FD1" w:rsidP="008538E6">
            <w:pPr>
              <w:pStyle w:val="NormalWeb"/>
              <w:spacing w:before="0" w:beforeAutospacing="0" w:after="0" w:afterAutospacing="0"/>
              <w:rPr>
                <w:rFonts w:ascii="Arial" w:hAnsi="Arial" w:cs="Arial"/>
                <w:color w:val="797979"/>
                <w:sz w:val="18"/>
                <w:szCs w:val="18"/>
              </w:rPr>
            </w:pPr>
          </w:p>
          <w:p w:rsidR="00903FD1" w:rsidRDefault="00903FD1" w:rsidP="008538E6">
            <w:pPr>
              <w:pStyle w:val="NormalWeb"/>
              <w:spacing w:before="0" w:beforeAutospacing="0" w:after="0" w:afterAutospacing="0"/>
              <w:rPr>
                <w:rFonts w:ascii="Arial" w:hAnsi="Arial" w:cs="Arial"/>
                <w:color w:val="797979"/>
                <w:sz w:val="18"/>
                <w:szCs w:val="18"/>
              </w:rPr>
            </w:pPr>
            <w:r>
              <w:rPr>
                <w:rFonts w:ascii="Arial" w:hAnsi="Arial" w:cs="Arial"/>
                <w:color w:val="797979"/>
                <w:sz w:val="18"/>
                <w:szCs w:val="18"/>
              </w:rPr>
              <w:t>Project Team</w:t>
            </w:r>
          </w:p>
        </w:tc>
      </w:tr>
      <w:tr w:rsidR="00903FD1" w:rsidTr="008538E6">
        <w:trPr>
          <w:tblCellSpacing w:w="7" w:type="dxa"/>
        </w:trPr>
        <w:tc>
          <w:tcPr>
            <w:tcW w:w="1244" w:type="pct"/>
            <w:tcBorders>
              <w:top w:val="outset" w:sz="6" w:space="0" w:color="auto"/>
              <w:left w:val="outset" w:sz="6" w:space="0" w:color="auto"/>
              <w:bottom w:val="outset" w:sz="6" w:space="0" w:color="auto"/>
              <w:right w:val="outset" w:sz="6" w:space="0" w:color="auto"/>
            </w:tcBorders>
          </w:tcPr>
          <w:p w:rsidR="00903FD1" w:rsidRDefault="00903FD1" w:rsidP="008538E6">
            <w:pPr>
              <w:pStyle w:val="NormalWeb"/>
              <w:spacing w:before="0" w:beforeAutospacing="0" w:after="0" w:afterAutospacing="0"/>
              <w:rPr>
                <w:rFonts w:ascii="Arial" w:hAnsi="Arial" w:cs="Arial"/>
                <w:color w:val="797979"/>
                <w:sz w:val="18"/>
                <w:szCs w:val="18"/>
              </w:rPr>
            </w:pPr>
            <w:r>
              <w:rPr>
                <w:rFonts w:ascii="Arial" w:hAnsi="Arial" w:cs="Arial"/>
                <w:color w:val="797979"/>
                <w:sz w:val="18"/>
                <w:szCs w:val="18"/>
              </w:rPr>
              <w:t>Members of Affected Communities</w:t>
            </w:r>
            <w:r w:rsidR="008812BC">
              <w:rPr>
                <w:rFonts w:ascii="Arial" w:hAnsi="Arial" w:cs="Arial"/>
                <w:color w:val="797979"/>
                <w:sz w:val="18"/>
                <w:szCs w:val="18"/>
              </w:rPr>
              <w:t xml:space="preserve"> (MACs)</w:t>
            </w:r>
          </w:p>
        </w:tc>
        <w:tc>
          <w:tcPr>
            <w:tcW w:w="2429" w:type="pct"/>
            <w:tcBorders>
              <w:top w:val="outset" w:sz="6" w:space="0" w:color="auto"/>
              <w:left w:val="outset" w:sz="6" w:space="0" w:color="auto"/>
              <w:bottom w:val="outset" w:sz="6" w:space="0" w:color="auto"/>
              <w:right w:val="outset" w:sz="6" w:space="0" w:color="auto"/>
            </w:tcBorders>
          </w:tcPr>
          <w:p w:rsidR="00903FD1" w:rsidRDefault="008812BC" w:rsidP="008538E6">
            <w:pPr>
              <w:pStyle w:val="NormalWeb"/>
              <w:spacing w:before="0" w:beforeAutospacing="0" w:after="0" w:afterAutospacing="0"/>
              <w:rPr>
                <w:rFonts w:ascii="Arial" w:hAnsi="Arial" w:cs="Arial"/>
                <w:color w:val="797979"/>
                <w:sz w:val="18"/>
                <w:szCs w:val="18"/>
              </w:rPr>
            </w:pPr>
            <w:r>
              <w:rPr>
                <w:rFonts w:ascii="Arial" w:hAnsi="Arial" w:cs="Arial"/>
                <w:color w:val="797979"/>
                <w:sz w:val="18"/>
                <w:szCs w:val="18"/>
              </w:rPr>
              <w:t>There were two MACs on the 2008 Electricity Framework Review team</w:t>
            </w:r>
          </w:p>
          <w:p w:rsidR="00903FD1" w:rsidRDefault="00903FD1" w:rsidP="008538E6">
            <w:pPr>
              <w:pStyle w:val="NormalWeb"/>
              <w:spacing w:before="0" w:beforeAutospacing="0" w:after="0" w:afterAutospacing="0"/>
              <w:rPr>
                <w:rFonts w:ascii="Arial" w:hAnsi="Arial" w:cs="Arial"/>
                <w:color w:val="797979"/>
                <w:sz w:val="18"/>
                <w:szCs w:val="18"/>
              </w:rPr>
            </w:pPr>
          </w:p>
        </w:tc>
        <w:tc>
          <w:tcPr>
            <w:tcW w:w="1298" w:type="pct"/>
            <w:tcBorders>
              <w:top w:val="outset" w:sz="6" w:space="0" w:color="auto"/>
              <w:left w:val="outset" w:sz="6" w:space="0" w:color="auto"/>
              <w:bottom w:val="outset" w:sz="6" w:space="0" w:color="auto"/>
              <w:right w:val="outset" w:sz="6" w:space="0" w:color="auto"/>
            </w:tcBorders>
          </w:tcPr>
          <w:p w:rsidR="00903FD1" w:rsidRDefault="008812BC" w:rsidP="008538E6">
            <w:pPr>
              <w:pStyle w:val="NormalWeb"/>
              <w:spacing w:before="0" w:beforeAutospacing="0" w:after="0" w:afterAutospacing="0"/>
              <w:rPr>
                <w:rFonts w:ascii="Arial" w:hAnsi="Arial" w:cs="Arial"/>
                <w:color w:val="797979"/>
                <w:sz w:val="18"/>
                <w:szCs w:val="18"/>
              </w:rPr>
            </w:pPr>
            <w:r>
              <w:rPr>
                <w:rFonts w:ascii="Arial" w:hAnsi="Arial" w:cs="Arial"/>
                <w:color w:val="797979"/>
                <w:sz w:val="18"/>
                <w:szCs w:val="18"/>
              </w:rPr>
              <w:t>Project Team</w:t>
            </w:r>
          </w:p>
        </w:tc>
      </w:tr>
      <w:tr w:rsidR="00903FD1" w:rsidTr="008538E6">
        <w:trPr>
          <w:tblCellSpacing w:w="7" w:type="dxa"/>
        </w:trPr>
        <w:tc>
          <w:tcPr>
            <w:tcW w:w="1244" w:type="pct"/>
            <w:vMerge w:val="restart"/>
            <w:tcBorders>
              <w:top w:val="outset" w:sz="6" w:space="0" w:color="auto"/>
              <w:left w:val="outset" w:sz="6" w:space="0" w:color="auto"/>
              <w:right w:val="outset" w:sz="6" w:space="0" w:color="auto"/>
            </w:tcBorders>
          </w:tcPr>
          <w:p w:rsidR="00903FD1" w:rsidRDefault="00903FD1" w:rsidP="008538E6">
            <w:pPr>
              <w:pStyle w:val="NormalWeb"/>
              <w:spacing w:before="0" w:beforeAutospacing="0" w:after="0" w:afterAutospacing="0"/>
              <w:rPr>
                <w:rFonts w:ascii="Arial" w:hAnsi="Arial" w:cs="Arial"/>
                <w:color w:val="797979"/>
                <w:sz w:val="18"/>
                <w:szCs w:val="18"/>
              </w:rPr>
            </w:pPr>
            <w:r>
              <w:rPr>
                <w:rFonts w:ascii="Arial" w:hAnsi="Arial" w:cs="Arial"/>
                <w:color w:val="797979"/>
                <w:sz w:val="18"/>
                <w:szCs w:val="18"/>
              </w:rPr>
              <w:t>Other</w:t>
            </w:r>
          </w:p>
        </w:tc>
        <w:tc>
          <w:tcPr>
            <w:tcW w:w="2429" w:type="pct"/>
            <w:tcBorders>
              <w:top w:val="outset" w:sz="6" w:space="0" w:color="auto"/>
              <w:left w:val="outset" w:sz="6" w:space="0" w:color="auto"/>
              <w:bottom w:val="outset" w:sz="6" w:space="0" w:color="auto"/>
              <w:right w:val="outset" w:sz="6" w:space="0" w:color="auto"/>
            </w:tcBorders>
          </w:tcPr>
          <w:p w:rsidR="00903FD1" w:rsidRDefault="00903FD1" w:rsidP="008538E6">
            <w:pPr>
              <w:pStyle w:val="NormalWeb"/>
              <w:spacing w:before="0" w:beforeAutospacing="0" w:after="0" w:afterAutospacing="0"/>
              <w:rPr>
                <w:rFonts w:ascii="Arial" w:hAnsi="Arial" w:cs="Arial"/>
                <w:color w:val="797979"/>
                <w:sz w:val="18"/>
                <w:szCs w:val="18"/>
              </w:rPr>
            </w:pPr>
            <w:r>
              <w:rPr>
                <w:rFonts w:ascii="Arial" w:hAnsi="Arial" w:cs="Arial"/>
                <w:color w:val="797979"/>
                <w:sz w:val="18"/>
                <w:szCs w:val="18"/>
              </w:rPr>
              <w:t>Environmental Law Center</w:t>
            </w:r>
          </w:p>
        </w:tc>
        <w:tc>
          <w:tcPr>
            <w:tcW w:w="1298" w:type="pct"/>
            <w:tcBorders>
              <w:top w:val="outset" w:sz="6" w:space="0" w:color="auto"/>
              <w:left w:val="outset" w:sz="6" w:space="0" w:color="auto"/>
              <w:bottom w:val="outset" w:sz="6" w:space="0" w:color="auto"/>
              <w:right w:val="outset" w:sz="6" w:space="0" w:color="auto"/>
            </w:tcBorders>
          </w:tcPr>
          <w:p w:rsidR="00903FD1" w:rsidRDefault="00903FD1" w:rsidP="008538E6">
            <w:pPr>
              <w:pStyle w:val="NormalWeb"/>
              <w:spacing w:before="0" w:beforeAutospacing="0" w:after="0" w:afterAutospacing="0"/>
              <w:rPr>
                <w:rFonts w:ascii="Arial" w:hAnsi="Arial" w:cs="Arial"/>
                <w:color w:val="797979"/>
                <w:sz w:val="18"/>
                <w:szCs w:val="18"/>
              </w:rPr>
            </w:pPr>
            <w:r>
              <w:rPr>
                <w:rFonts w:ascii="Arial" w:hAnsi="Arial" w:cs="Arial"/>
                <w:color w:val="797979"/>
                <w:sz w:val="18"/>
                <w:szCs w:val="18"/>
              </w:rPr>
              <w:t>Project Team</w:t>
            </w:r>
          </w:p>
        </w:tc>
      </w:tr>
      <w:tr w:rsidR="00903FD1" w:rsidTr="008538E6">
        <w:trPr>
          <w:tblCellSpacing w:w="7" w:type="dxa"/>
        </w:trPr>
        <w:tc>
          <w:tcPr>
            <w:tcW w:w="1244" w:type="pct"/>
            <w:vMerge/>
            <w:tcBorders>
              <w:left w:val="outset" w:sz="6" w:space="0" w:color="auto"/>
              <w:right w:val="outset" w:sz="6" w:space="0" w:color="auto"/>
            </w:tcBorders>
          </w:tcPr>
          <w:p w:rsidR="00903FD1" w:rsidRDefault="00903FD1" w:rsidP="008538E6">
            <w:pPr>
              <w:pStyle w:val="NormalWeb"/>
              <w:spacing w:before="0" w:beforeAutospacing="0" w:after="0" w:afterAutospacing="0"/>
              <w:rPr>
                <w:rFonts w:ascii="Arial" w:hAnsi="Arial" w:cs="Arial"/>
                <w:color w:val="797979"/>
                <w:sz w:val="18"/>
                <w:szCs w:val="18"/>
              </w:rPr>
            </w:pPr>
          </w:p>
        </w:tc>
        <w:tc>
          <w:tcPr>
            <w:tcW w:w="2429" w:type="pct"/>
            <w:tcBorders>
              <w:top w:val="outset" w:sz="6" w:space="0" w:color="auto"/>
              <w:left w:val="outset" w:sz="6" w:space="0" w:color="auto"/>
              <w:bottom w:val="outset" w:sz="6" w:space="0" w:color="auto"/>
              <w:right w:val="outset" w:sz="6" w:space="0" w:color="auto"/>
            </w:tcBorders>
          </w:tcPr>
          <w:p w:rsidR="00903FD1" w:rsidRDefault="00903FD1" w:rsidP="008538E6">
            <w:pPr>
              <w:pStyle w:val="NormalWeb"/>
              <w:spacing w:before="0" w:beforeAutospacing="0" w:after="0" w:afterAutospacing="0"/>
              <w:rPr>
                <w:rFonts w:ascii="Arial" w:hAnsi="Arial" w:cs="Arial"/>
                <w:color w:val="797979"/>
                <w:sz w:val="18"/>
                <w:szCs w:val="18"/>
              </w:rPr>
            </w:pPr>
            <w:r>
              <w:rPr>
                <w:rFonts w:ascii="Arial" w:hAnsi="Arial" w:cs="Arial"/>
                <w:color w:val="797979"/>
                <w:sz w:val="18"/>
                <w:szCs w:val="18"/>
              </w:rPr>
              <w:t>Sierra Club</w:t>
            </w:r>
          </w:p>
        </w:tc>
        <w:tc>
          <w:tcPr>
            <w:tcW w:w="1298" w:type="pct"/>
            <w:tcBorders>
              <w:top w:val="outset" w:sz="6" w:space="0" w:color="auto"/>
              <w:left w:val="outset" w:sz="6" w:space="0" w:color="auto"/>
              <w:bottom w:val="outset" w:sz="6" w:space="0" w:color="auto"/>
              <w:right w:val="outset" w:sz="6" w:space="0" w:color="auto"/>
            </w:tcBorders>
          </w:tcPr>
          <w:p w:rsidR="00903FD1" w:rsidRDefault="00903FD1" w:rsidP="008538E6">
            <w:pPr>
              <w:pStyle w:val="NormalWeb"/>
              <w:spacing w:before="0" w:beforeAutospacing="0" w:after="0" w:afterAutospacing="0"/>
              <w:rPr>
                <w:rFonts w:ascii="Arial" w:hAnsi="Arial" w:cs="Arial"/>
                <w:color w:val="797979"/>
                <w:sz w:val="18"/>
                <w:szCs w:val="18"/>
              </w:rPr>
            </w:pPr>
            <w:r>
              <w:rPr>
                <w:rFonts w:ascii="Arial" w:hAnsi="Arial" w:cs="Arial"/>
                <w:color w:val="797979"/>
                <w:sz w:val="18"/>
                <w:szCs w:val="18"/>
              </w:rPr>
              <w:t>Project Team</w:t>
            </w:r>
          </w:p>
        </w:tc>
      </w:tr>
      <w:tr w:rsidR="00903FD1" w:rsidTr="008538E6">
        <w:trPr>
          <w:tblCellSpacing w:w="7" w:type="dxa"/>
        </w:trPr>
        <w:tc>
          <w:tcPr>
            <w:tcW w:w="1244" w:type="pct"/>
            <w:vMerge/>
            <w:tcBorders>
              <w:left w:val="outset" w:sz="6" w:space="0" w:color="auto"/>
              <w:bottom w:val="outset" w:sz="6" w:space="0" w:color="auto"/>
              <w:right w:val="outset" w:sz="6" w:space="0" w:color="auto"/>
            </w:tcBorders>
          </w:tcPr>
          <w:p w:rsidR="00903FD1" w:rsidRDefault="00903FD1" w:rsidP="008538E6">
            <w:pPr>
              <w:pStyle w:val="NormalWeb"/>
              <w:spacing w:before="0" w:beforeAutospacing="0" w:after="0" w:afterAutospacing="0"/>
              <w:rPr>
                <w:rFonts w:ascii="Arial" w:hAnsi="Arial" w:cs="Arial"/>
                <w:color w:val="797979"/>
                <w:sz w:val="18"/>
                <w:szCs w:val="18"/>
              </w:rPr>
            </w:pPr>
          </w:p>
        </w:tc>
        <w:tc>
          <w:tcPr>
            <w:tcW w:w="2429" w:type="pct"/>
            <w:tcBorders>
              <w:top w:val="outset" w:sz="6" w:space="0" w:color="auto"/>
              <w:left w:val="outset" w:sz="6" w:space="0" w:color="auto"/>
              <w:bottom w:val="outset" w:sz="6" w:space="0" w:color="auto"/>
              <w:right w:val="outset" w:sz="6" w:space="0" w:color="auto"/>
            </w:tcBorders>
          </w:tcPr>
          <w:p w:rsidR="00903FD1" w:rsidRDefault="00903FD1" w:rsidP="008538E6">
            <w:pPr>
              <w:pStyle w:val="NormalWeb"/>
              <w:spacing w:before="0" w:beforeAutospacing="0" w:after="0" w:afterAutospacing="0"/>
              <w:rPr>
                <w:rFonts w:ascii="Arial" w:hAnsi="Arial" w:cs="Arial"/>
                <w:color w:val="797979"/>
                <w:sz w:val="18"/>
                <w:szCs w:val="18"/>
              </w:rPr>
            </w:pPr>
            <w:r>
              <w:rPr>
                <w:rFonts w:ascii="Arial" w:hAnsi="Arial" w:cs="Arial"/>
                <w:color w:val="797979"/>
                <w:sz w:val="18"/>
                <w:szCs w:val="18"/>
              </w:rPr>
              <w:t>Residents for Accountability in Power Industry Development</w:t>
            </w:r>
          </w:p>
        </w:tc>
        <w:tc>
          <w:tcPr>
            <w:tcW w:w="1298" w:type="pct"/>
            <w:tcBorders>
              <w:top w:val="outset" w:sz="6" w:space="0" w:color="auto"/>
              <w:left w:val="outset" w:sz="6" w:space="0" w:color="auto"/>
              <w:bottom w:val="outset" w:sz="6" w:space="0" w:color="auto"/>
              <w:right w:val="outset" w:sz="6" w:space="0" w:color="auto"/>
            </w:tcBorders>
          </w:tcPr>
          <w:p w:rsidR="00903FD1" w:rsidRDefault="00903FD1" w:rsidP="008538E6">
            <w:pPr>
              <w:pStyle w:val="NormalWeb"/>
              <w:spacing w:before="0" w:beforeAutospacing="0" w:after="0" w:afterAutospacing="0"/>
              <w:rPr>
                <w:rFonts w:ascii="Arial" w:hAnsi="Arial" w:cs="Arial"/>
                <w:color w:val="797979"/>
                <w:sz w:val="18"/>
                <w:szCs w:val="18"/>
              </w:rPr>
            </w:pPr>
            <w:r>
              <w:rPr>
                <w:rFonts w:ascii="Arial" w:hAnsi="Arial" w:cs="Arial"/>
                <w:color w:val="797979"/>
                <w:sz w:val="18"/>
                <w:szCs w:val="18"/>
              </w:rPr>
              <w:t>Sub-Group</w:t>
            </w:r>
          </w:p>
        </w:tc>
      </w:tr>
    </w:tbl>
    <w:p w:rsidR="00903FD1" w:rsidRPr="00903FD1" w:rsidRDefault="00903FD1" w:rsidP="00903FD1"/>
    <w:sectPr w:rsidR="00903FD1" w:rsidRPr="00903FD1" w:rsidSect="00E21F7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288" w:rsidRDefault="004A2288" w:rsidP="00834294">
      <w:r>
        <w:separator/>
      </w:r>
    </w:p>
  </w:endnote>
  <w:endnote w:type="continuationSeparator" w:id="0">
    <w:p w:rsidR="004A2288" w:rsidRDefault="004A2288" w:rsidP="00834294">
      <w:r>
        <w:continuationSeparator/>
      </w:r>
    </w:p>
  </w:endnote>
</w:endnotes>
</file>

<file path=word/fontTable.xml><?xml version="1.0" encoding="utf-8"?>
<w:fonts xmlns:r="http://schemas.openxmlformats.org/officeDocument/2006/relationships" xmlns:w="http://schemas.openxmlformats.org/wordprocessingml/2006/main">
  <w:font w:name="CommonBullets">
    <w:altName w:val="Symbol"/>
    <w:panose1 w:val="00000000000000000000"/>
    <w:charset w:val="02"/>
    <w:family w:val="swiss"/>
    <w:notTrueType/>
    <w:pitch w:val="variable"/>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mdITC Bk B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ＭＳ 明朝">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D84" w:rsidRDefault="00770D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8220199"/>
      <w:docPartObj>
        <w:docPartGallery w:val="Page Numbers (Bottom of Page)"/>
        <w:docPartUnique/>
      </w:docPartObj>
    </w:sdtPr>
    <w:sdtEndPr>
      <w:rPr>
        <w:noProof/>
      </w:rPr>
    </w:sdtEndPr>
    <w:sdtContent>
      <w:p w:rsidR="007E32E5" w:rsidRDefault="00200C93">
        <w:pPr>
          <w:pStyle w:val="Footer"/>
          <w:jc w:val="right"/>
        </w:pPr>
        <w:r>
          <w:fldChar w:fldCharType="begin"/>
        </w:r>
        <w:r w:rsidR="007E32E5">
          <w:instrText xml:space="preserve"> PAGE   \* MERGEFORMAT </w:instrText>
        </w:r>
        <w:r>
          <w:fldChar w:fldCharType="separate"/>
        </w:r>
        <w:r w:rsidR="00F5714E">
          <w:rPr>
            <w:noProof/>
          </w:rPr>
          <w:t>14</w:t>
        </w:r>
        <w:r>
          <w:rPr>
            <w:noProof/>
          </w:rPr>
          <w:fldChar w:fldCharType="end"/>
        </w:r>
      </w:p>
    </w:sdtContent>
  </w:sdt>
  <w:p w:rsidR="007E32E5" w:rsidRDefault="007E32E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D84" w:rsidRDefault="00770D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288" w:rsidRDefault="004A2288" w:rsidP="00834294">
      <w:r>
        <w:separator/>
      </w:r>
    </w:p>
  </w:footnote>
  <w:footnote w:type="continuationSeparator" w:id="0">
    <w:p w:rsidR="004A2288" w:rsidRDefault="004A2288" w:rsidP="00834294">
      <w:r>
        <w:continuationSeparator/>
      </w:r>
    </w:p>
  </w:footnote>
  <w:footnote w:id="1">
    <w:p w:rsidR="007E32E5" w:rsidRDefault="007E32E5" w:rsidP="006A2B08">
      <w:pPr>
        <w:pStyle w:val="FootnoteText"/>
      </w:pPr>
      <w:r>
        <w:rPr>
          <w:rStyle w:val="FootnoteReference"/>
        </w:rPr>
        <w:footnoteRef/>
      </w:r>
      <w:r>
        <w:t xml:space="preserve"> Recommendation 5. </w:t>
      </w:r>
      <w:r w:rsidRPr="00BA371D">
        <w:rPr>
          <w:i/>
        </w:rPr>
        <w:t>Report on the First Five Year Review of the Emissions Management Framework for the Alberta Electricity Sector</w:t>
      </w:r>
      <w:r>
        <w:t>. May 2010.</w:t>
      </w:r>
    </w:p>
  </w:footnote>
  <w:footnote w:id="2">
    <w:p w:rsidR="007E32E5" w:rsidRDefault="007E32E5" w:rsidP="006A2B08">
      <w:pPr>
        <w:pStyle w:val="FootnoteText"/>
      </w:pPr>
      <w:r>
        <w:rPr>
          <w:rStyle w:val="FootnoteReference"/>
        </w:rPr>
        <w:footnoteRef/>
      </w:r>
      <w:r>
        <w:t xml:space="preserve"> Recommendation 22. </w:t>
      </w:r>
      <w:r w:rsidRPr="0046063C">
        <w:rPr>
          <w:i/>
        </w:rPr>
        <w:t>Emissions Management Framework for the Alberta Electricity Sector.</w:t>
      </w:r>
      <w:r>
        <w:t xml:space="preserve"> November 2003. </w:t>
      </w:r>
    </w:p>
  </w:footnote>
  <w:footnote w:id="3">
    <w:p w:rsidR="007E32E5" w:rsidRPr="00E3330C" w:rsidRDefault="007E32E5">
      <w:pPr>
        <w:pStyle w:val="FootnoteText"/>
        <w:rPr>
          <w:lang w:val="en-US"/>
        </w:rPr>
      </w:pPr>
      <w:r>
        <w:rPr>
          <w:rStyle w:val="FootnoteReference"/>
        </w:rPr>
        <w:footnoteRef/>
      </w:r>
      <w:r>
        <w:t xml:space="preserve"> Recommendation 1. </w:t>
      </w:r>
      <w:r w:rsidRPr="00BA371D">
        <w:rPr>
          <w:i/>
        </w:rPr>
        <w:t>Report on the First Five Year Review of the Emissions Management Framework for the</w:t>
      </w:r>
      <w:r>
        <w:rPr>
          <w:i/>
        </w:rPr>
        <w:t xml:space="preserve"> Alberta Electricity Sector.</w:t>
      </w:r>
    </w:p>
  </w:footnote>
  <w:footnote w:id="4">
    <w:p w:rsidR="007E32E5" w:rsidRPr="00AE282C" w:rsidRDefault="007E32E5">
      <w:pPr>
        <w:pStyle w:val="FootnoteText"/>
        <w:rPr>
          <w:lang w:val="en-US"/>
        </w:rPr>
      </w:pPr>
      <w:r>
        <w:rPr>
          <w:rStyle w:val="FootnoteReference"/>
        </w:rPr>
        <w:footnoteRef/>
      </w:r>
      <w:r>
        <w:t xml:space="preserve"> Recommendation 1. </w:t>
      </w:r>
      <w:r w:rsidRPr="00BA371D">
        <w:rPr>
          <w:i/>
        </w:rPr>
        <w:t>Report on the First Five Year Review of the Emissions Management Framework for the</w:t>
      </w:r>
      <w:r>
        <w:rPr>
          <w:i/>
        </w:rPr>
        <w:t xml:space="preserve"> Alberta Electricity Sector.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D84" w:rsidRDefault="00770D8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D84" w:rsidRPr="00770D84" w:rsidRDefault="00770D84" w:rsidP="00770D84">
    <w:pPr>
      <w:pStyle w:val="Header"/>
      <w:jc w:val="right"/>
      <w:rPr>
        <w:rFonts w:ascii="Arial" w:hAnsi="Arial" w:cs="Arial"/>
        <w:sz w:val="18"/>
        <w:szCs w:val="18"/>
        <w:lang w:val="en-CA"/>
      </w:rPr>
    </w:pPr>
    <w:r>
      <w:rPr>
        <w:rFonts w:ascii="Arial" w:hAnsi="Arial" w:cs="Arial"/>
        <w:sz w:val="18"/>
        <w:szCs w:val="18"/>
        <w:lang w:val="en-CA"/>
      </w:rPr>
      <w:t>Item 2.2 – Attachment A</w:t>
    </w:r>
  </w:p>
  <w:p w:rsidR="00770D84" w:rsidRDefault="00770D8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D84" w:rsidRPr="00770D84" w:rsidRDefault="00770D84" w:rsidP="00770D84">
    <w:pPr>
      <w:pStyle w:val="Header"/>
      <w:jc w:val="right"/>
      <w:rPr>
        <w:rFonts w:ascii="Arial" w:hAnsi="Arial" w:cs="Arial"/>
        <w:sz w:val="18"/>
        <w:szCs w:val="18"/>
        <w:lang w:val="en-CA"/>
      </w:rPr>
    </w:pPr>
    <w:r>
      <w:rPr>
        <w:rFonts w:ascii="Arial" w:hAnsi="Arial" w:cs="Arial"/>
        <w:sz w:val="18"/>
        <w:szCs w:val="18"/>
        <w:lang w:val="en-CA"/>
      </w:rPr>
      <w:t>Item 2.2 – Attachment 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4A7C"/>
    <w:multiLevelType w:val="hybridMultilevel"/>
    <w:tmpl w:val="9CE4620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A6525E"/>
    <w:multiLevelType w:val="hybridMultilevel"/>
    <w:tmpl w:val="B55619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93561A"/>
    <w:multiLevelType w:val="hybridMultilevel"/>
    <w:tmpl w:val="A1165036"/>
    <w:lvl w:ilvl="0" w:tplc="06D0ABF2">
      <w:start w:val="1"/>
      <w:numFmt w:val="bullet"/>
      <w:pStyle w:val="Bullet1"/>
      <w:lvlText w:val=""/>
      <w:lvlJc w:val="left"/>
      <w:pPr>
        <w:ind w:left="720" w:hanging="360"/>
      </w:pPr>
      <w:rPr>
        <w:rFonts w:ascii="CommonBullets" w:hAnsi="CommonBullets" w:hint="default"/>
        <w:b w:val="0"/>
        <w:i w:val="0"/>
        <w:color w:val="auto"/>
        <w:sz w:val="20"/>
      </w:rPr>
    </w:lvl>
    <w:lvl w:ilvl="1" w:tplc="11CC20CC">
      <w:start w:val="1"/>
      <w:numFmt w:val="bullet"/>
      <w:lvlText w:val=""/>
      <w:lvlJc w:val="left"/>
      <w:pPr>
        <w:tabs>
          <w:tab w:val="num" w:pos="1440"/>
        </w:tabs>
        <w:ind w:left="1440" w:hanging="360"/>
      </w:pPr>
      <w:rPr>
        <w:rFonts w:ascii="Symbol" w:hAnsi="Symbol" w:hint="default"/>
        <w:b w:val="0"/>
        <w:i w:val="0"/>
        <w:color w:val="auto"/>
        <w:sz w:val="2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b w:val="0"/>
        <w:i w:val="0"/>
        <w:color w:val="auto"/>
        <w:sz w:val="20"/>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371263"/>
    <w:multiLevelType w:val="hybridMultilevel"/>
    <w:tmpl w:val="1D384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270DBD"/>
    <w:multiLevelType w:val="hybridMultilevel"/>
    <w:tmpl w:val="A12A3C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627ECB"/>
    <w:multiLevelType w:val="hybridMultilevel"/>
    <w:tmpl w:val="2946B2DC"/>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nsid w:val="179845AB"/>
    <w:multiLevelType w:val="hybridMultilevel"/>
    <w:tmpl w:val="DDD016D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F971135"/>
    <w:multiLevelType w:val="hybridMultilevel"/>
    <w:tmpl w:val="9DCE6C36"/>
    <w:lvl w:ilvl="0" w:tplc="4AD686F6">
      <w:start w:val="201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D81195"/>
    <w:multiLevelType w:val="hybridMultilevel"/>
    <w:tmpl w:val="03564B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7425360"/>
    <w:multiLevelType w:val="hybridMultilevel"/>
    <w:tmpl w:val="849CFE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BB85D21"/>
    <w:multiLevelType w:val="hybridMultilevel"/>
    <w:tmpl w:val="2BDE4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E92240"/>
    <w:multiLevelType w:val="hybridMultilevel"/>
    <w:tmpl w:val="3DAEB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4097B0D"/>
    <w:multiLevelType w:val="hybridMultilevel"/>
    <w:tmpl w:val="0E8678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4EC0315"/>
    <w:multiLevelType w:val="singleLevel"/>
    <w:tmpl w:val="F2CE76CE"/>
    <w:lvl w:ilvl="0">
      <w:start w:val="2"/>
      <w:numFmt w:val="decimal"/>
      <w:lvlText w:val="%1."/>
      <w:lvlJc w:val="left"/>
      <w:pPr>
        <w:tabs>
          <w:tab w:val="num" w:pos="720"/>
        </w:tabs>
        <w:ind w:left="720" w:hanging="720"/>
      </w:pPr>
      <w:rPr>
        <w:rFonts w:hint="default"/>
      </w:rPr>
    </w:lvl>
  </w:abstractNum>
  <w:abstractNum w:abstractNumId="14">
    <w:nsid w:val="361759E7"/>
    <w:multiLevelType w:val="hybridMultilevel"/>
    <w:tmpl w:val="9CDAC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D2F07D1"/>
    <w:multiLevelType w:val="hybridMultilevel"/>
    <w:tmpl w:val="DE02B0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901EE0"/>
    <w:multiLevelType w:val="hybridMultilevel"/>
    <w:tmpl w:val="7C987B1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CF5CE1"/>
    <w:multiLevelType w:val="hybridMultilevel"/>
    <w:tmpl w:val="F9DE6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3D52BC"/>
    <w:multiLevelType w:val="hybridMultilevel"/>
    <w:tmpl w:val="6A187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1518D8"/>
    <w:multiLevelType w:val="hybridMultilevel"/>
    <w:tmpl w:val="755CDD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B8F5FC6"/>
    <w:multiLevelType w:val="hybridMultilevel"/>
    <w:tmpl w:val="EBF0E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126464"/>
    <w:multiLevelType w:val="hybridMultilevel"/>
    <w:tmpl w:val="15B62C3E"/>
    <w:lvl w:ilvl="0" w:tplc="F4286DD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8FA4A46"/>
    <w:multiLevelType w:val="hybridMultilevel"/>
    <w:tmpl w:val="60981D76"/>
    <w:lvl w:ilvl="0" w:tplc="A4921948">
      <w:start w:val="201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AB08D3"/>
    <w:multiLevelType w:val="hybridMultilevel"/>
    <w:tmpl w:val="9482B2A8"/>
    <w:lvl w:ilvl="0" w:tplc="11CC20C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E7D2827"/>
    <w:multiLevelType w:val="hybridMultilevel"/>
    <w:tmpl w:val="2EAC00B0"/>
    <w:lvl w:ilvl="0" w:tplc="4AD686F6">
      <w:start w:val="201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E42C8E"/>
    <w:multiLevelType w:val="hybridMultilevel"/>
    <w:tmpl w:val="437A359A"/>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720"/>
        </w:tabs>
        <w:ind w:left="720" w:hanging="360"/>
      </w:pPr>
    </w:lvl>
    <w:lvl w:ilvl="2" w:tplc="C3226868">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2A179D0"/>
    <w:multiLevelType w:val="hybridMultilevel"/>
    <w:tmpl w:val="0742C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C84C18"/>
    <w:multiLevelType w:val="hybridMultilevel"/>
    <w:tmpl w:val="1B68D242"/>
    <w:lvl w:ilvl="0" w:tplc="1D3CD3CE">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C93696"/>
    <w:multiLevelType w:val="hybridMultilevel"/>
    <w:tmpl w:val="B2EA2B4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61E652D"/>
    <w:multiLevelType w:val="hybridMultilevel"/>
    <w:tmpl w:val="DE02B0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AF03A9"/>
    <w:multiLevelType w:val="hybridMultilevel"/>
    <w:tmpl w:val="1A8CF1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8BE681E"/>
    <w:multiLevelType w:val="hybridMultilevel"/>
    <w:tmpl w:val="1226B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6A4FC6"/>
    <w:multiLevelType w:val="hybridMultilevel"/>
    <w:tmpl w:val="4EFED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3"/>
  </w:num>
  <w:num w:numId="3">
    <w:abstractNumId w:val="30"/>
  </w:num>
  <w:num w:numId="4">
    <w:abstractNumId w:val="10"/>
  </w:num>
  <w:num w:numId="5">
    <w:abstractNumId w:val="26"/>
  </w:num>
  <w:num w:numId="6">
    <w:abstractNumId w:val="13"/>
  </w:num>
  <w:num w:numId="7">
    <w:abstractNumId w:val="22"/>
  </w:num>
  <w:num w:numId="8">
    <w:abstractNumId w:val="31"/>
  </w:num>
  <w:num w:numId="9">
    <w:abstractNumId w:val="1"/>
  </w:num>
  <w:num w:numId="10">
    <w:abstractNumId w:val="32"/>
  </w:num>
  <w:num w:numId="11">
    <w:abstractNumId w:val="17"/>
  </w:num>
  <w:num w:numId="12">
    <w:abstractNumId w:val="20"/>
  </w:num>
  <w:num w:numId="13">
    <w:abstractNumId w:val="24"/>
  </w:num>
  <w:num w:numId="14">
    <w:abstractNumId w:val="25"/>
  </w:num>
  <w:num w:numId="15">
    <w:abstractNumId w:val="29"/>
  </w:num>
  <w:num w:numId="16">
    <w:abstractNumId w:val="21"/>
  </w:num>
  <w:num w:numId="17">
    <w:abstractNumId w:val="16"/>
  </w:num>
  <w:num w:numId="18">
    <w:abstractNumId w:val="6"/>
  </w:num>
  <w:num w:numId="19">
    <w:abstractNumId w:val="28"/>
  </w:num>
  <w:num w:numId="20">
    <w:abstractNumId w:val="18"/>
  </w:num>
  <w:num w:numId="21">
    <w:abstractNumId w:val="27"/>
  </w:num>
  <w:num w:numId="22">
    <w:abstractNumId w:val="7"/>
  </w:num>
  <w:num w:numId="23">
    <w:abstractNumId w:val="15"/>
  </w:num>
  <w:num w:numId="24">
    <w:abstractNumId w:val="5"/>
  </w:num>
  <w:num w:numId="25">
    <w:abstractNumId w:val="0"/>
  </w:num>
  <w:num w:numId="26">
    <w:abstractNumId w:val="19"/>
  </w:num>
  <w:num w:numId="27">
    <w:abstractNumId w:val="8"/>
  </w:num>
  <w:num w:numId="28">
    <w:abstractNumId w:val="3"/>
  </w:num>
  <w:num w:numId="29">
    <w:abstractNumId w:val="9"/>
  </w:num>
  <w:num w:numId="30">
    <w:abstractNumId w:val="11"/>
  </w:num>
  <w:num w:numId="31">
    <w:abstractNumId w:val="14"/>
  </w:num>
  <w:num w:numId="32">
    <w:abstractNumId w:val="12"/>
  </w:num>
  <w:num w:numId="3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5122"/>
  </w:hdrShapeDefaults>
  <w:footnotePr>
    <w:footnote w:id="-1"/>
    <w:footnote w:id="0"/>
  </w:footnotePr>
  <w:endnotePr>
    <w:endnote w:id="-1"/>
    <w:endnote w:id="0"/>
  </w:endnotePr>
  <w:compat/>
  <w:rsids>
    <w:rsidRoot w:val="007D60D9"/>
    <w:rsid w:val="00013218"/>
    <w:rsid w:val="00031CBA"/>
    <w:rsid w:val="000332B0"/>
    <w:rsid w:val="0004186B"/>
    <w:rsid w:val="00055A18"/>
    <w:rsid w:val="00060087"/>
    <w:rsid w:val="00065879"/>
    <w:rsid w:val="0007675C"/>
    <w:rsid w:val="00081AC0"/>
    <w:rsid w:val="00091255"/>
    <w:rsid w:val="00092C7F"/>
    <w:rsid w:val="00097CC3"/>
    <w:rsid w:val="000A6A33"/>
    <w:rsid w:val="000C23C0"/>
    <w:rsid w:val="000C463F"/>
    <w:rsid w:val="000C6201"/>
    <w:rsid w:val="000D0054"/>
    <w:rsid w:val="0011406D"/>
    <w:rsid w:val="001354BB"/>
    <w:rsid w:val="0013557C"/>
    <w:rsid w:val="00135D67"/>
    <w:rsid w:val="00163B9F"/>
    <w:rsid w:val="00174376"/>
    <w:rsid w:val="001803E8"/>
    <w:rsid w:val="00182A2C"/>
    <w:rsid w:val="00187A81"/>
    <w:rsid w:val="001A6519"/>
    <w:rsid w:val="001B1A39"/>
    <w:rsid w:val="001B6FE0"/>
    <w:rsid w:val="001D58F8"/>
    <w:rsid w:val="001E0F8C"/>
    <w:rsid w:val="001E7961"/>
    <w:rsid w:val="00200C1E"/>
    <w:rsid w:val="00200C93"/>
    <w:rsid w:val="00202C2F"/>
    <w:rsid w:val="002130A5"/>
    <w:rsid w:val="002307E9"/>
    <w:rsid w:val="00241E40"/>
    <w:rsid w:val="00245CDC"/>
    <w:rsid w:val="00282AEE"/>
    <w:rsid w:val="002866AC"/>
    <w:rsid w:val="00293114"/>
    <w:rsid w:val="00293E9E"/>
    <w:rsid w:val="002968AF"/>
    <w:rsid w:val="002970A0"/>
    <w:rsid w:val="002A2D44"/>
    <w:rsid w:val="002B3634"/>
    <w:rsid w:val="002D74B2"/>
    <w:rsid w:val="002E4C36"/>
    <w:rsid w:val="002E7285"/>
    <w:rsid w:val="002F1A2F"/>
    <w:rsid w:val="00304B90"/>
    <w:rsid w:val="00314BD1"/>
    <w:rsid w:val="00325D37"/>
    <w:rsid w:val="00344496"/>
    <w:rsid w:val="003456C8"/>
    <w:rsid w:val="00355B16"/>
    <w:rsid w:val="003947A8"/>
    <w:rsid w:val="003B05BA"/>
    <w:rsid w:val="003B2561"/>
    <w:rsid w:val="003C748A"/>
    <w:rsid w:val="0040095C"/>
    <w:rsid w:val="00403F04"/>
    <w:rsid w:val="0042695E"/>
    <w:rsid w:val="00436C09"/>
    <w:rsid w:val="00441DA1"/>
    <w:rsid w:val="0044616E"/>
    <w:rsid w:val="004541A0"/>
    <w:rsid w:val="004544E3"/>
    <w:rsid w:val="00461068"/>
    <w:rsid w:val="00462D8D"/>
    <w:rsid w:val="00463FDF"/>
    <w:rsid w:val="00465838"/>
    <w:rsid w:val="00476140"/>
    <w:rsid w:val="004A2288"/>
    <w:rsid w:val="004C1A9E"/>
    <w:rsid w:val="004C21F1"/>
    <w:rsid w:val="004C58C5"/>
    <w:rsid w:val="004C63B6"/>
    <w:rsid w:val="004E417D"/>
    <w:rsid w:val="004E59AC"/>
    <w:rsid w:val="00502E81"/>
    <w:rsid w:val="00510DDB"/>
    <w:rsid w:val="00513496"/>
    <w:rsid w:val="005346AB"/>
    <w:rsid w:val="00536317"/>
    <w:rsid w:val="005402C2"/>
    <w:rsid w:val="005513EB"/>
    <w:rsid w:val="00554F2A"/>
    <w:rsid w:val="00561DF1"/>
    <w:rsid w:val="0057365A"/>
    <w:rsid w:val="005A51B2"/>
    <w:rsid w:val="005A56D7"/>
    <w:rsid w:val="005A5D48"/>
    <w:rsid w:val="005B3B73"/>
    <w:rsid w:val="005C5FF6"/>
    <w:rsid w:val="005D0310"/>
    <w:rsid w:val="005D1A8E"/>
    <w:rsid w:val="005D7231"/>
    <w:rsid w:val="005F31EC"/>
    <w:rsid w:val="005F6CE6"/>
    <w:rsid w:val="005F7B09"/>
    <w:rsid w:val="005F7F32"/>
    <w:rsid w:val="00606F58"/>
    <w:rsid w:val="00611CC0"/>
    <w:rsid w:val="00612870"/>
    <w:rsid w:val="00616373"/>
    <w:rsid w:val="006232CD"/>
    <w:rsid w:val="00623E85"/>
    <w:rsid w:val="006268B4"/>
    <w:rsid w:val="0067146C"/>
    <w:rsid w:val="00674358"/>
    <w:rsid w:val="00681DC4"/>
    <w:rsid w:val="00691329"/>
    <w:rsid w:val="00694C94"/>
    <w:rsid w:val="006A2B08"/>
    <w:rsid w:val="006C2C17"/>
    <w:rsid w:val="006F3304"/>
    <w:rsid w:val="006F656E"/>
    <w:rsid w:val="007012C1"/>
    <w:rsid w:val="00706ECE"/>
    <w:rsid w:val="00712D5F"/>
    <w:rsid w:val="00717FA9"/>
    <w:rsid w:val="0072361C"/>
    <w:rsid w:val="00723860"/>
    <w:rsid w:val="00730CDA"/>
    <w:rsid w:val="00734E19"/>
    <w:rsid w:val="00741F95"/>
    <w:rsid w:val="0074383B"/>
    <w:rsid w:val="00745FA4"/>
    <w:rsid w:val="00752441"/>
    <w:rsid w:val="0076531B"/>
    <w:rsid w:val="00765FD0"/>
    <w:rsid w:val="00770D84"/>
    <w:rsid w:val="007760BD"/>
    <w:rsid w:val="007B19E0"/>
    <w:rsid w:val="007C3F35"/>
    <w:rsid w:val="007C71AB"/>
    <w:rsid w:val="007D60D9"/>
    <w:rsid w:val="007E052E"/>
    <w:rsid w:val="007E0806"/>
    <w:rsid w:val="007E32E5"/>
    <w:rsid w:val="007F6229"/>
    <w:rsid w:val="007F79DA"/>
    <w:rsid w:val="00816390"/>
    <w:rsid w:val="008260A2"/>
    <w:rsid w:val="0082671D"/>
    <w:rsid w:val="0082698D"/>
    <w:rsid w:val="0083092B"/>
    <w:rsid w:val="00831CD6"/>
    <w:rsid w:val="00834294"/>
    <w:rsid w:val="00840C83"/>
    <w:rsid w:val="0084589E"/>
    <w:rsid w:val="008538E6"/>
    <w:rsid w:val="008736E8"/>
    <w:rsid w:val="008812BC"/>
    <w:rsid w:val="008830AC"/>
    <w:rsid w:val="0088396A"/>
    <w:rsid w:val="00892014"/>
    <w:rsid w:val="00895049"/>
    <w:rsid w:val="008B3EF9"/>
    <w:rsid w:val="008C0D5B"/>
    <w:rsid w:val="008D16D7"/>
    <w:rsid w:val="008D2DFD"/>
    <w:rsid w:val="008E3CB8"/>
    <w:rsid w:val="008F012A"/>
    <w:rsid w:val="00903ABE"/>
    <w:rsid w:val="00903FD1"/>
    <w:rsid w:val="009221A0"/>
    <w:rsid w:val="0092408A"/>
    <w:rsid w:val="00935B13"/>
    <w:rsid w:val="0097079E"/>
    <w:rsid w:val="009727AE"/>
    <w:rsid w:val="00972C79"/>
    <w:rsid w:val="009C52E8"/>
    <w:rsid w:val="009D3CBA"/>
    <w:rsid w:val="00A103B4"/>
    <w:rsid w:val="00A21381"/>
    <w:rsid w:val="00A2169D"/>
    <w:rsid w:val="00A309F4"/>
    <w:rsid w:val="00A401DE"/>
    <w:rsid w:val="00A43F06"/>
    <w:rsid w:val="00A63A73"/>
    <w:rsid w:val="00A8264E"/>
    <w:rsid w:val="00A83B25"/>
    <w:rsid w:val="00A90497"/>
    <w:rsid w:val="00AB1E55"/>
    <w:rsid w:val="00AB2C17"/>
    <w:rsid w:val="00AB55EA"/>
    <w:rsid w:val="00AB6D47"/>
    <w:rsid w:val="00AC6E40"/>
    <w:rsid w:val="00AD51BB"/>
    <w:rsid w:val="00AE282C"/>
    <w:rsid w:val="00AE5F5D"/>
    <w:rsid w:val="00AF16E4"/>
    <w:rsid w:val="00AF4D3B"/>
    <w:rsid w:val="00B0039C"/>
    <w:rsid w:val="00B00D29"/>
    <w:rsid w:val="00B02D42"/>
    <w:rsid w:val="00B03386"/>
    <w:rsid w:val="00B119B6"/>
    <w:rsid w:val="00B25EE7"/>
    <w:rsid w:val="00B43378"/>
    <w:rsid w:val="00B501B3"/>
    <w:rsid w:val="00B673E3"/>
    <w:rsid w:val="00B707DD"/>
    <w:rsid w:val="00B87F58"/>
    <w:rsid w:val="00BB3205"/>
    <w:rsid w:val="00BB6D85"/>
    <w:rsid w:val="00BE0253"/>
    <w:rsid w:val="00BE24EA"/>
    <w:rsid w:val="00BF5D1D"/>
    <w:rsid w:val="00BF7B5F"/>
    <w:rsid w:val="00C05962"/>
    <w:rsid w:val="00C2150E"/>
    <w:rsid w:val="00C37635"/>
    <w:rsid w:val="00C40FA3"/>
    <w:rsid w:val="00C568B2"/>
    <w:rsid w:val="00C772EA"/>
    <w:rsid w:val="00C82E5D"/>
    <w:rsid w:val="00C93D3F"/>
    <w:rsid w:val="00CA3BE2"/>
    <w:rsid w:val="00CB1789"/>
    <w:rsid w:val="00CB76C9"/>
    <w:rsid w:val="00CC1128"/>
    <w:rsid w:val="00CC5199"/>
    <w:rsid w:val="00CD11D5"/>
    <w:rsid w:val="00CD322F"/>
    <w:rsid w:val="00CE1FA6"/>
    <w:rsid w:val="00CE6DD7"/>
    <w:rsid w:val="00CF1CE9"/>
    <w:rsid w:val="00CF7DBC"/>
    <w:rsid w:val="00D0385E"/>
    <w:rsid w:val="00D06CD0"/>
    <w:rsid w:val="00D073E4"/>
    <w:rsid w:val="00D242D8"/>
    <w:rsid w:val="00D30380"/>
    <w:rsid w:val="00D32DFA"/>
    <w:rsid w:val="00D34F0E"/>
    <w:rsid w:val="00D35333"/>
    <w:rsid w:val="00D4051E"/>
    <w:rsid w:val="00D43624"/>
    <w:rsid w:val="00D56CEE"/>
    <w:rsid w:val="00D61F71"/>
    <w:rsid w:val="00D8122C"/>
    <w:rsid w:val="00DC028C"/>
    <w:rsid w:val="00DC27E2"/>
    <w:rsid w:val="00DC347B"/>
    <w:rsid w:val="00DC7F79"/>
    <w:rsid w:val="00DD1869"/>
    <w:rsid w:val="00DD71B9"/>
    <w:rsid w:val="00DF350C"/>
    <w:rsid w:val="00E21F71"/>
    <w:rsid w:val="00E22D46"/>
    <w:rsid w:val="00E25796"/>
    <w:rsid w:val="00E3330C"/>
    <w:rsid w:val="00E4397B"/>
    <w:rsid w:val="00E638DE"/>
    <w:rsid w:val="00E64550"/>
    <w:rsid w:val="00E67E90"/>
    <w:rsid w:val="00E7489B"/>
    <w:rsid w:val="00E92109"/>
    <w:rsid w:val="00E92B48"/>
    <w:rsid w:val="00EA1041"/>
    <w:rsid w:val="00ED2DF5"/>
    <w:rsid w:val="00ED6C78"/>
    <w:rsid w:val="00EF2AC4"/>
    <w:rsid w:val="00F0177B"/>
    <w:rsid w:val="00F258DC"/>
    <w:rsid w:val="00F46D5F"/>
    <w:rsid w:val="00F525C8"/>
    <w:rsid w:val="00F56504"/>
    <w:rsid w:val="00F5714E"/>
    <w:rsid w:val="00F6559A"/>
    <w:rsid w:val="00F719C3"/>
    <w:rsid w:val="00F77401"/>
    <w:rsid w:val="00F84CB5"/>
    <w:rsid w:val="00F9096E"/>
    <w:rsid w:val="00F90D59"/>
    <w:rsid w:val="00FA3A53"/>
    <w:rsid w:val="00FB1C37"/>
    <w:rsid w:val="00FB7293"/>
    <w:rsid w:val="00FC1718"/>
    <w:rsid w:val="00FC61BB"/>
    <w:rsid w:val="00FF689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rules v:ext="edit">
        <o:r id="V:Rule1" type="connector" idref="#Straight Arrow Connector 9"/>
        <o:r id="V:Rule2" type="connector" idref="#Straight Arrow Connector 10"/>
        <o:r id="V:Rule3" type="connector" idref="#Straight Arrow Connector 11"/>
        <o:r id="V:Rule4" type="connector" idref="#Straight Arrow Connector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0D9"/>
    <w:pPr>
      <w:spacing w:after="0" w:line="240" w:lineRule="auto"/>
    </w:pPr>
    <w:rPr>
      <w:rFonts w:ascii="GarmdITC Bk BT" w:eastAsia="Calibri" w:hAnsi="GarmdITC Bk BT" w:cs="Times New Roman"/>
    </w:rPr>
  </w:style>
  <w:style w:type="paragraph" w:styleId="Heading1">
    <w:name w:val="heading 1"/>
    <w:basedOn w:val="Normal"/>
    <w:next w:val="Normal"/>
    <w:link w:val="Heading1Char"/>
    <w:uiPriority w:val="9"/>
    <w:qFormat/>
    <w:rsid w:val="00B433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FB1C3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D60D9"/>
    <w:pPr>
      <w:ind w:left="720"/>
      <w:contextualSpacing/>
    </w:pPr>
  </w:style>
  <w:style w:type="paragraph" w:customStyle="1" w:styleId="Bullet1">
    <w:name w:val="Bullet1"/>
    <w:basedOn w:val="Normal"/>
    <w:uiPriority w:val="99"/>
    <w:rsid w:val="007D60D9"/>
    <w:pPr>
      <w:numPr>
        <w:numId w:val="1"/>
      </w:numPr>
    </w:pPr>
    <w:rPr>
      <w:lang w:val="en-CA"/>
    </w:rPr>
  </w:style>
  <w:style w:type="paragraph" w:styleId="Header">
    <w:name w:val="header"/>
    <w:basedOn w:val="Normal"/>
    <w:link w:val="HeaderChar"/>
    <w:unhideWhenUsed/>
    <w:rsid w:val="00834294"/>
    <w:pPr>
      <w:tabs>
        <w:tab w:val="center" w:pos="4680"/>
        <w:tab w:val="right" w:pos="9360"/>
      </w:tabs>
    </w:pPr>
  </w:style>
  <w:style w:type="character" w:customStyle="1" w:styleId="HeaderChar">
    <w:name w:val="Header Char"/>
    <w:basedOn w:val="DefaultParagraphFont"/>
    <w:link w:val="Header"/>
    <w:uiPriority w:val="99"/>
    <w:rsid w:val="00834294"/>
    <w:rPr>
      <w:rFonts w:ascii="GarmdITC Bk BT" w:eastAsia="Calibri" w:hAnsi="GarmdITC Bk BT" w:cs="Times New Roman"/>
    </w:rPr>
  </w:style>
  <w:style w:type="paragraph" w:styleId="Footer">
    <w:name w:val="footer"/>
    <w:basedOn w:val="Normal"/>
    <w:link w:val="FooterChar"/>
    <w:uiPriority w:val="99"/>
    <w:unhideWhenUsed/>
    <w:rsid w:val="00834294"/>
    <w:pPr>
      <w:tabs>
        <w:tab w:val="center" w:pos="4680"/>
        <w:tab w:val="right" w:pos="9360"/>
      </w:tabs>
    </w:pPr>
  </w:style>
  <w:style w:type="character" w:customStyle="1" w:styleId="FooterChar">
    <w:name w:val="Footer Char"/>
    <w:basedOn w:val="DefaultParagraphFont"/>
    <w:link w:val="Footer"/>
    <w:uiPriority w:val="99"/>
    <w:rsid w:val="00834294"/>
    <w:rPr>
      <w:rFonts w:ascii="GarmdITC Bk BT" w:eastAsia="Calibri" w:hAnsi="GarmdITC Bk BT" w:cs="Times New Roman"/>
    </w:rPr>
  </w:style>
  <w:style w:type="paragraph" w:styleId="BalloonText">
    <w:name w:val="Balloon Text"/>
    <w:basedOn w:val="Normal"/>
    <w:link w:val="BalloonTextChar"/>
    <w:uiPriority w:val="99"/>
    <w:semiHidden/>
    <w:unhideWhenUsed/>
    <w:rsid w:val="00834294"/>
    <w:rPr>
      <w:rFonts w:ascii="Tahoma" w:hAnsi="Tahoma" w:cs="Tahoma"/>
      <w:sz w:val="16"/>
      <w:szCs w:val="16"/>
    </w:rPr>
  </w:style>
  <w:style w:type="character" w:customStyle="1" w:styleId="BalloonTextChar">
    <w:name w:val="Balloon Text Char"/>
    <w:basedOn w:val="DefaultParagraphFont"/>
    <w:link w:val="BalloonText"/>
    <w:uiPriority w:val="99"/>
    <w:semiHidden/>
    <w:rsid w:val="00834294"/>
    <w:rPr>
      <w:rFonts w:ascii="Tahoma" w:eastAsia="Calibri" w:hAnsi="Tahoma" w:cs="Tahoma"/>
      <w:sz w:val="16"/>
      <w:szCs w:val="16"/>
    </w:rPr>
  </w:style>
  <w:style w:type="paragraph" w:styleId="FootnoteText">
    <w:name w:val="footnote text"/>
    <w:basedOn w:val="Normal"/>
    <w:link w:val="FootnoteTextChar"/>
    <w:uiPriority w:val="99"/>
    <w:semiHidden/>
    <w:rsid w:val="00D56CEE"/>
    <w:rPr>
      <w:rFonts w:ascii="Times New Roman" w:eastAsia="Times New Roman" w:hAnsi="Times New Roman"/>
      <w:sz w:val="20"/>
      <w:szCs w:val="20"/>
      <w:lang w:val="en-CA"/>
    </w:rPr>
  </w:style>
  <w:style w:type="character" w:customStyle="1" w:styleId="FootnoteTextChar">
    <w:name w:val="Footnote Text Char"/>
    <w:basedOn w:val="DefaultParagraphFont"/>
    <w:link w:val="FootnoteText"/>
    <w:uiPriority w:val="99"/>
    <w:semiHidden/>
    <w:rsid w:val="00D56CEE"/>
    <w:rPr>
      <w:rFonts w:ascii="Times New Roman" w:eastAsia="Times New Roman" w:hAnsi="Times New Roman" w:cs="Times New Roman"/>
      <w:sz w:val="20"/>
      <w:szCs w:val="20"/>
      <w:lang w:val="en-CA"/>
    </w:rPr>
  </w:style>
  <w:style w:type="character" w:styleId="FootnoteReference">
    <w:name w:val="footnote reference"/>
    <w:uiPriority w:val="99"/>
    <w:semiHidden/>
    <w:rsid w:val="00D56CEE"/>
    <w:rPr>
      <w:vertAlign w:val="superscript"/>
    </w:rPr>
  </w:style>
  <w:style w:type="paragraph" w:styleId="Title">
    <w:name w:val="Title"/>
    <w:basedOn w:val="Normal"/>
    <w:link w:val="TitleChar"/>
    <w:qFormat/>
    <w:rsid w:val="00F46D5F"/>
    <w:pPr>
      <w:jc w:val="center"/>
    </w:pPr>
    <w:rPr>
      <w:rFonts w:ascii="Times New Roman" w:eastAsia="Times New Roman" w:hAnsi="Times New Roman"/>
      <w:b/>
      <w:sz w:val="24"/>
      <w:szCs w:val="20"/>
      <w:lang w:val="en-CA"/>
    </w:rPr>
  </w:style>
  <w:style w:type="character" w:customStyle="1" w:styleId="TitleChar">
    <w:name w:val="Title Char"/>
    <w:basedOn w:val="DefaultParagraphFont"/>
    <w:link w:val="Title"/>
    <w:rsid w:val="00F46D5F"/>
    <w:rPr>
      <w:rFonts w:ascii="Times New Roman" w:eastAsia="Times New Roman" w:hAnsi="Times New Roman" w:cs="Times New Roman"/>
      <w:b/>
      <w:sz w:val="24"/>
      <w:szCs w:val="20"/>
      <w:lang w:val="en-CA"/>
    </w:rPr>
  </w:style>
  <w:style w:type="character" w:styleId="Emphasis">
    <w:name w:val="Emphasis"/>
    <w:uiPriority w:val="20"/>
    <w:qFormat/>
    <w:rsid w:val="00B0039C"/>
    <w:rPr>
      <w:i/>
      <w:iCs/>
    </w:rPr>
  </w:style>
  <w:style w:type="character" w:styleId="CommentReference">
    <w:name w:val="annotation reference"/>
    <w:basedOn w:val="DefaultParagraphFont"/>
    <w:uiPriority w:val="99"/>
    <w:semiHidden/>
    <w:unhideWhenUsed/>
    <w:rsid w:val="006A2B08"/>
    <w:rPr>
      <w:sz w:val="16"/>
      <w:szCs w:val="16"/>
    </w:rPr>
  </w:style>
  <w:style w:type="paragraph" w:styleId="CommentText">
    <w:name w:val="annotation text"/>
    <w:basedOn w:val="Normal"/>
    <w:link w:val="CommentTextChar"/>
    <w:uiPriority w:val="99"/>
    <w:semiHidden/>
    <w:unhideWhenUsed/>
    <w:rsid w:val="006A2B08"/>
    <w:rPr>
      <w:sz w:val="20"/>
      <w:szCs w:val="20"/>
    </w:rPr>
  </w:style>
  <w:style w:type="character" w:customStyle="1" w:styleId="CommentTextChar">
    <w:name w:val="Comment Text Char"/>
    <w:basedOn w:val="DefaultParagraphFont"/>
    <w:link w:val="CommentText"/>
    <w:uiPriority w:val="99"/>
    <w:semiHidden/>
    <w:rsid w:val="006A2B08"/>
    <w:rPr>
      <w:rFonts w:ascii="GarmdITC Bk BT" w:eastAsia="Calibri" w:hAnsi="GarmdITC Bk BT" w:cs="Times New Roman"/>
      <w:sz w:val="20"/>
      <w:szCs w:val="20"/>
    </w:rPr>
  </w:style>
  <w:style w:type="character" w:customStyle="1" w:styleId="Heading1Char">
    <w:name w:val="Heading 1 Char"/>
    <w:basedOn w:val="DefaultParagraphFont"/>
    <w:link w:val="Heading1"/>
    <w:uiPriority w:val="9"/>
    <w:rsid w:val="00B4337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43378"/>
    <w:pPr>
      <w:spacing w:line="276" w:lineRule="auto"/>
      <w:outlineLvl w:val="9"/>
    </w:pPr>
    <w:rPr>
      <w:lang w:eastAsia="ja-JP"/>
    </w:rPr>
  </w:style>
  <w:style w:type="paragraph" w:styleId="TOC1">
    <w:name w:val="toc 1"/>
    <w:basedOn w:val="Normal"/>
    <w:next w:val="Normal"/>
    <w:autoRedefine/>
    <w:uiPriority w:val="39"/>
    <w:unhideWhenUsed/>
    <w:rsid w:val="00B43378"/>
    <w:pPr>
      <w:spacing w:after="100"/>
    </w:pPr>
  </w:style>
  <w:style w:type="character" w:styleId="Hyperlink">
    <w:name w:val="Hyperlink"/>
    <w:basedOn w:val="DefaultParagraphFont"/>
    <w:uiPriority w:val="99"/>
    <w:unhideWhenUsed/>
    <w:rsid w:val="00B43378"/>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465838"/>
    <w:rPr>
      <w:b/>
      <w:bCs/>
    </w:rPr>
  </w:style>
  <w:style w:type="character" w:customStyle="1" w:styleId="CommentSubjectChar">
    <w:name w:val="Comment Subject Char"/>
    <w:basedOn w:val="CommentTextChar"/>
    <w:link w:val="CommentSubject"/>
    <w:uiPriority w:val="99"/>
    <w:semiHidden/>
    <w:rsid w:val="00465838"/>
    <w:rPr>
      <w:rFonts w:ascii="GarmdITC Bk BT" w:eastAsia="Calibri" w:hAnsi="GarmdITC Bk BT" w:cs="Times New Roman"/>
      <w:b/>
      <w:bCs/>
      <w:sz w:val="20"/>
      <w:szCs w:val="20"/>
    </w:rPr>
  </w:style>
  <w:style w:type="paragraph" w:styleId="NormalWeb">
    <w:name w:val="Normal (Web)"/>
    <w:basedOn w:val="Normal"/>
    <w:uiPriority w:val="99"/>
    <w:rsid w:val="00FA3A53"/>
    <w:pPr>
      <w:spacing w:before="100" w:beforeAutospacing="1" w:after="100" w:afterAutospacing="1"/>
    </w:pPr>
    <w:rPr>
      <w:rFonts w:ascii="Times New Roman" w:eastAsia="Times New Roman" w:hAnsi="Times New Roman"/>
      <w:sz w:val="24"/>
      <w:szCs w:val="24"/>
      <w:lang w:val="en-CA"/>
    </w:rPr>
  </w:style>
  <w:style w:type="table" w:styleId="TableGrid">
    <w:name w:val="Table Grid"/>
    <w:basedOn w:val="TableNormal"/>
    <w:uiPriority w:val="59"/>
    <w:rsid w:val="00241E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FB1C37"/>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2866AC"/>
    <w:pPr>
      <w:spacing w:after="100"/>
      <w:ind w:left="440"/>
    </w:pPr>
  </w:style>
  <w:style w:type="paragraph" w:styleId="Revision">
    <w:name w:val="Revision"/>
    <w:hidden/>
    <w:uiPriority w:val="99"/>
    <w:semiHidden/>
    <w:rsid w:val="00A83B25"/>
    <w:pPr>
      <w:spacing w:after="0" w:line="240" w:lineRule="auto"/>
    </w:pPr>
    <w:rPr>
      <w:rFonts w:ascii="GarmdITC Bk BT" w:eastAsia="Calibri" w:hAnsi="GarmdITC Bk BT"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0D9"/>
    <w:pPr>
      <w:spacing w:after="0" w:line="240" w:lineRule="auto"/>
    </w:pPr>
    <w:rPr>
      <w:rFonts w:ascii="GarmdITC Bk BT" w:eastAsia="Calibri" w:hAnsi="GarmdITC Bk BT" w:cs="Times New Roman"/>
    </w:rPr>
  </w:style>
  <w:style w:type="paragraph" w:styleId="Heading1">
    <w:name w:val="heading 1"/>
    <w:basedOn w:val="Normal"/>
    <w:next w:val="Normal"/>
    <w:link w:val="Heading1Char"/>
    <w:uiPriority w:val="9"/>
    <w:qFormat/>
    <w:rsid w:val="00B433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FB1C3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D60D9"/>
    <w:pPr>
      <w:ind w:left="720"/>
      <w:contextualSpacing/>
    </w:pPr>
  </w:style>
  <w:style w:type="paragraph" w:customStyle="1" w:styleId="Bullet1">
    <w:name w:val="Bullet1"/>
    <w:basedOn w:val="Normal"/>
    <w:uiPriority w:val="99"/>
    <w:rsid w:val="007D60D9"/>
    <w:pPr>
      <w:numPr>
        <w:numId w:val="1"/>
      </w:numPr>
    </w:pPr>
    <w:rPr>
      <w:lang w:val="en-CA"/>
    </w:rPr>
  </w:style>
  <w:style w:type="paragraph" w:styleId="Header">
    <w:name w:val="header"/>
    <w:basedOn w:val="Normal"/>
    <w:link w:val="HeaderChar"/>
    <w:unhideWhenUsed/>
    <w:rsid w:val="00834294"/>
    <w:pPr>
      <w:tabs>
        <w:tab w:val="center" w:pos="4680"/>
        <w:tab w:val="right" w:pos="9360"/>
      </w:tabs>
    </w:pPr>
  </w:style>
  <w:style w:type="character" w:customStyle="1" w:styleId="HeaderChar">
    <w:name w:val="Header Char"/>
    <w:basedOn w:val="DefaultParagraphFont"/>
    <w:link w:val="Header"/>
    <w:uiPriority w:val="99"/>
    <w:rsid w:val="00834294"/>
    <w:rPr>
      <w:rFonts w:ascii="GarmdITC Bk BT" w:eastAsia="Calibri" w:hAnsi="GarmdITC Bk BT" w:cs="Times New Roman"/>
    </w:rPr>
  </w:style>
  <w:style w:type="paragraph" w:styleId="Footer">
    <w:name w:val="footer"/>
    <w:basedOn w:val="Normal"/>
    <w:link w:val="FooterChar"/>
    <w:uiPriority w:val="99"/>
    <w:unhideWhenUsed/>
    <w:rsid w:val="00834294"/>
    <w:pPr>
      <w:tabs>
        <w:tab w:val="center" w:pos="4680"/>
        <w:tab w:val="right" w:pos="9360"/>
      </w:tabs>
    </w:pPr>
  </w:style>
  <w:style w:type="character" w:customStyle="1" w:styleId="FooterChar">
    <w:name w:val="Footer Char"/>
    <w:basedOn w:val="DefaultParagraphFont"/>
    <w:link w:val="Footer"/>
    <w:uiPriority w:val="99"/>
    <w:rsid w:val="00834294"/>
    <w:rPr>
      <w:rFonts w:ascii="GarmdITC Bk BT" w:eastAsia="Calibri" w:hAnsi="GarmdITC Bk BT" w:cs="Times New Roman"/>
    </w:rPr>
  </w:style>
  <w:style w:type="paragraph" w:styleId="BalloonText">
    <w:name w:val="Balloon Text"/>
    <w:basedOn w:val="Normal"/>
    <w:link w:val="BalloonTextChar"/>
    <w:uiPriority w:val="99"/>
    <w:semiHidden/>
    <w:unhideWhenUsed/>
    <w:rsid w:val="00834294"/>
    <w:rPr>
      <w:rFonts w:ascii="Tahoma" w:hAnsi="Tahoma" w:cs="Tahoma"/>
      <w:sz w:val="16"/>
      <w:szCs w:val="16"/>
    </w:rPr>
  </w:style>
  <w:style w:type="character" w:customStyle="1" w:styleId="BalloonTextChar">
    <w:name w:val="Balloon Text Char"/>
    <w:basedOn w:val="DefaultParagraphFont"/>
    <w:link w:val="BalloonText"/>
    <w:uiPriority w:val="99"/>
    <w:semiHidden/>
    <w:rsid w:val="00834294"/>
    <w:rPr>
      <w:rFonts w:ascii="Tahoma" w:eastAsia="Calibri" w:hAnsi="Tahoma" w:cs="Tahoma"/>
      <w:sz w:val="16"/>
      <w:szCs w:val="16"/>
    </w:rPr>
  </w:style>
  <w:style w:type="paragraph" w:styleId="FootnoteText">
    <w:name w:val="footnote text"/>
    <w:basedOn w:val="Normal"/>
    <w:link w:val="FootnoteTextChar"/>
    <w:uiPriority w:val="99"/>
    <w:semiHidden/>
    <w:rsid w:val="00D56CEE"/>
    <w:rPr>
      <w:rFonts w:ascii="Times New Roman" w:eastAsia="Times New Roman" w:hAnsi="Times New Roman"/>
      <w:sz w:val="20"/>
      <w:szCs w:val="20"/>
      <w:lang w:val="en-CA" w:eastAsia="x-none"/>
    </w:rPr>
  </w:style>
  <w:style w:type="character" w:customStyle="1" w:styleId="FootnoteTextChar">
    <w:name w:val="Footnote Text Char"/>
    <w:basedOn w:val="DefaultParagraphFont"/>
    <w:link w:val="FootnoteText"/>
    <w:uiPriority w:val="99"/>
    <w:semiHidden/>
    <w:rsid w:val="00D56CEE"/>
    <w:rPr>
      <w:rFonts w:ascii="Times New Roman" w:eastAsia="Times New Roman" w:hAnsi="Times New Roman" w:cs="Times New Roman"/>
      <w:sz w:val="20"/>
      <w:szCs w:val="20"/>
      <w:lang w:val="en-CA" w:eastAsia="x-none"/>
    </w:rPr>
  </w:style>
  <w:style w:type="character" w:styleId="FootnoteReference">
    <w:name w:val="footnote reference"/>
    <w:uiPriority w:val="99"/>
    <w:semiHidden/>
    <w:rsid w:val="00D56CEE"/>
    <w:rPr>
      <w:vertAlign w:val="superscript"/>
    </w:rPr>
  </w:style>
  <w:style w:type="paragraph" w:styleId="Title">
    <w:name w:val="Title"/>
    <w:basedOn w:val="Normal"/>
    <w:link w:val="TitleChar"/>
    <w:qFormat/>
    <w:rsid w:val="00F46D5F"/>
    <w:pPr>
      <w:jc w:val="center"/>
    </w:pPr>
    <w:rPr>
      <w:rFonts w:ascii="Times New Roman" w:eastAsia="Times New Roman" w:hAnsi="Times New Roman"/>
      <w:b/>
      <w:sz w:val="24"/>
      <w:szCs w:val="20"/>
      <w:lang w:val="en-CA"/>
    </w:rPr>
  </w:style>
  <w:style w:type="character" w:customStyle="1" w:styleId="TitleChar">
    <w:name w:val="Title Char"/>
    <w:basedOn w:val="DefaultParagraphFont"/>
    <w:link w:val="Title"/>
    <w:rsid w:val="00F46D5F"/>
    <w:rPr>
      <w:rFonts w:ascii="Times New Roman" w:eastAsia="Times New Roman" w:hAnsi="Times New Roman" w:cs="Times New Roman"/>
      <w:b/>
      <w:sz w:val="24"/>
      <w:szCs w:val="20"/>
      <w:lang w:val="en-CA"/>
    </w:rPr>
  </w:style>
  <w:style w:type="character" w:styleId="Emphasis">
    <w:name w:val="Emphasis"/>
    <w:uiPriority w:val="20"/>
    <w:qFormat/>
    <w:rsid w:val="00B0039C"/>
    <w:rPr>
      <w:i/>
      <w:iCs/>
    </w:rPr>
  </w:style>
  <w:style w:type="character" w:styleId="CommentReference">
    <w:name w:val="annotation reference"/>
    <w:basedOn w:val="DefaultParagraphFont"/>
    <w:uiPriority w:val="99"/>
    <w:semiHidden/>
    <w:unhideWhenUsed/>
    <w:rsid w:val="006A2B08"/>
    <w:rPr>
      <w:sz w:val="16"/>
      <w:szCs w:val="16"/>
    </w:rPr>
  </w:style>
  <w:style w:type="paragraph" w:styleId="CommentText">
    <w:name w:val="annotation text"/>
    <w:basedOn w:val="Normal"/>
    <w:link w:val="CommentTextChar"/>
    <w:uiPriority w:val="99"/>
    <w:semiHidden/>
    <w:unhideWhenUsed/>
    <w:rsid w:val="006A2B08"/>
    <w:rPr>
      <w:sz w:val="20"/>
      <w:szCs w:val="20"/>
    </w:rPr>
  </w:style>
  <w:style w:type="character" w:customStyle="1" w:styleId="CommentTextChar">
    <w:name w:val="Comment Text Char"/>
    <w:basedOn w:val="DefaultParagraphFont"/>
    <w:link w:val="CommentText"/>
    <w:uiPriority w:val="99"/>
    <w:semiHidden/>
    <w:rsid w:val="006A2B08"/>
    <w:rPr>
      <w:rFonts w:ascii="GarmdITC Bk BT" w:eastAsia="Calibri" w:hAnsi="GarmdITC Bk BT" w:cs="Times New Roman"/>
      <w:sz w:val="20"/>
      <w:szCs w:val="20"/>
    </w:rPr>
  </w:style>
  <w:style w:type="character" w:customStyle="1" w:styleId="Heading1Char">
    <w:name w:val="Heading 1 Char"/>
    <w:basedOn w:val="DefaultParagraphFont"/>
    <w:link w:val="Heading1"/>
    <w:uiPriority w:val="9"/>
    <w:rsid w:val="00B4337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43378"/>
    <w:pPr>
      <w:spacing w:line="276" w:lineRule="auto"/>
      <w:outlineLvl w:val="9"/>
    </w:pPr>
    <w:rPr>
      <w:lang w:eastAsia="ja-JP"/>
    </w:rPr>
  </w:style>
  <w:style w:type="paragraph" w:styleId="TOC1">
    <w:name w:val="toc 1"/>
    <w:basedOn w:val="Normal"/>
    <w:next w:val="Normal"/>
    <w:autoRedefine/>
    <w:uiPriority w:val="39"/>
    <w:unhideWhenUsed/>
    <w:rsid w:val="00B43378"/>
    <w:pPr>
      <w:spacing w:after="100"/>
    </w:pPr>
  </w:style>
  <w:style w:type="character" w:styleId="Hyperlink">
    <w:name w:val="Hyperlink"/>
    <w:basedOn w:val="DefaultParagraphFont"/>
    <w:uiPriority w:val="99"/>
    <w:unhideWhenUsed/>
    <w:rsid w:val="00B43378"/>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465838"/>
    <w:rPr>
      <w:b/>
      <w:bCs/>
    </w:rPr>
  </w:style>
  <w:style w:type="character" w:customStyle="1" w:styleId="CommentSubjectChar">
    <w:name w:val="Comment Subject Char"/>
    <w:basedOn w:val="CommentTextChar"/>
    <w:link w:val="CommentSubject"/>
    <w:uiPriority w:val="99"/>
    <w:semiHidden/>
    <w:rsid w:val="00465838"/>
    <w:rPr>
      <w:rFonts w:ascii="GarmdITC Bk BT" w:eastAsia="Calibri" w:hAnsi="GarmdITC Bk BT" w:cs="Times New Roman"/>
      <w:b/>
      <w:bCs/>
      <w:sz w:val="20"/>
      <w:szCs w:val="20"/>
    </w:rPr>
  </w:style>
  <w:style w:type="paragraph" w:styleId="NormalWeb">
    <w:name w:val="Normal (Web)"/>
    <w:basedOn w:val="Normal"/>
    <w:uiPriority w:val="99"/>
    <w:rsid w:val="00FA3A53"/>
    <w:pPr>
      <w:spacing w:before="100" w:beforeAutospacing="1" w:after="100" w:afterAutospacing="1"/>
    </w:pPr>
    <w:rPr>
      <w:rFonts w:ascii="Times New Roman" w:eastAsia="Times New Roman" w:hAnsi="Times New Roman"/>
      <w:sz w:val="24"/>
      <w:szCs w:val="24"/>
      <w:lang w:val="en-CA"/>
    </w:rPr>
  </w:style>
  <w:style w:type="table" w:styleId="TableGrid">
    <w:name w:val="Table Grid"/>
    <w:basedOn w:val="TableNormal"/>
    <w:uiPriority w:val="59"/>
    <w:rsid w:val="00241E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FB1C37"/>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2866AC"/>
    <w:pPr>
      <w:spacing w:after="100"/>
      <w:ind w:left="440"/>
    </w:pPr>
  </w:style>
  <w:style w:type="paragraph" w:styleId="Revision">
    <w:name w:val="Revision"/>
    <w:hidden/>
    <w:uiPriority w:val="99"/>
    <w:semiHidden/>
    <w:rsid w:val="00A83B25"/>
    <w:pPr>
      <w:spacing w:after="0" w:line="240" w:lineRule="auto"/>
    </w:pPr>
    <w:rPr>
      <w:rFonts w:ascii="GarmdITC Bk BT" w:eastAsia="Calibri" w:hAnsi="GarmdITC Bk BT" w:cs="Times New Roman"/>
    </w:rPr>
  </w:style>
</w:styles>
</file>

<file path=word/webSettings.xml><?xml version="1.0" encoding="utf-8"?>
<w:webSettings xmlns:r="http://schemas.openxmlformats.org/officeDocument/2006/relationships" xmlns:w="http://schemas.openxmlformats.org/wordprocessingml/2006/main">
  <w:divs>
    <w:div w:id="1369337726">
      <w:bodyDiv w:val="1"/>
      <w:marLeft w:val="0"/>
      <w:marRight w:val="0"/>
      <w:marTop w:val="0"/>
      <w:marBottom w:val="0"/>
      <w:divBdr>
        <w:top w:val="none" w:sz="0" w:space="0" w:color="auto"/>
        <w:left w:val="none" w:sz="0" w:space="0" w:color="auto"/>
        <w:bottom w:val="none" w:sz="0" w:space="0" w:color="auto"/>
        <w:right w:val="none" w:sz="0" w:space="0" w:color="auto"/>
      </w:divBdr>
      <w:divsChild>
        <w:div w:id="1749418586">
          <w:marLeft w:val="0"/>
          <w:marRight w:val="0"/>
          <w:marTop w:val="100"/>
          <w:marBottom w:val="100"/>
          <w:divBdr>
            <w:top w:val="none" w:sz="0" w:space="0" w:color="auto"/>
            <w:left w:val="none" w:sz="0" w:space="0" w:color="auto"/>
            <w:bottom w:val="none" w:sz="0" w:space="0" w:color="auto"/>
            <w:right w:val="none" w:sz="0" w:space="0" w:color="auto"/>
          </w:divBdr>
          <w:divsChild>
            <w:div w:id="1401752072">
              <w:marLeft w:val="0"/>
              <w:marRight w:val="0"/>
              <w:marTop w:val="0"/>
              <w:marBottom w:val="0"/>
              <w:divBdr>
                <w:top w:val="none" w:sz="0" w:space="0" w:color="auto"/>
                <w:left w:val="none" w:sz="0" w:space="0" w:color="auto"/>
                <w:bottom w:val="none" w:sz="0" w:space="0" w:color="auto"/>
                <w:right w:val="none" w:sz="0" w:space="0" w:color="auto"/>
              </w:divBdr>
              <w:divsChild>
                <w:div w:id="886844321">
                  <w:marLeft w:val="0"/>
                  <w:marRight w:val="0"/>
                  <w:marTop w:val="0"/>
                  <w:marBottom w:val="0"/>
                  <w:divBdr>
                    <w:top w:val="none" w:sz="0" w:space="0" w:color="auto"/>
                    <w:left w:val="none" w:sz="0" w:space="0" w:color="auto"/>
                    <w:bottom w:val="none" w:sz="0" w:space="0" w:color="auto"/>
                    <w:right w:val="none" w:sz="0" w:space="0" w:color="auto"/>
                  </w:divBdr>
                  <w:divsChild>
                    <w:div w:id="450788892">
                      <w:marLeft w:val="0"/>
                      <w:marRight w:val="0"/>
                      <w:marTop w:val="0"/>
                      <w:marBottom w:val="0"/>
                      <w:divBdr>
                        <w:top w:val="none" w:sz="0" w:space="0" w:color="auto"/>
                        <w:left w:val="none" w:sz="0" w:space="0" w:color="auto"/>
                        <w:bottom w:val="none" w:sz="0" w:space="0" w:color="auto"/>
                        <w:right w:val="none" w:sz="0" w:space="0" w:color="auto"/>
                      </w:divBdr>
                      <w:divsChild>
                        <w:div w:id="1279294920">
                          <w:marLeft w:val="0"/>
                          <w:marRight w:val="0"/>
                          <w:marTop w:val="0"/>
                          <w:marBottom w:val="0"/>
                          <w:divBdr>
                            <w:top w:val="none" w:sz="0" w:space="0" w:color="auto"/>
                            <w:left w:val="none" w:sz="0" w:space="0" w:color="auto"/>
                            <w:bottom w:val="none" w:sz="0" w:space="0" w:color="auto"/>
                            <w:right w:val="none" w:sz="0" w:space="0" w:color="auto"/>
                          </w:divBdr>
                          <w:divsChild>
                            <w:div w:id="22506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502027">
      <w:bodyDiv w:val="1"/>
      <w:marLeft w:val="0"/>
      <w:marRight w:val="0"/>
      <w:marTop w:val="0"/>
      <w:marBottom w:val="0"/>
      <w:divBdr>
        <w:top w:val="none" w:sz="0" w:space="0" w:color="auto"/>
        <w:left w:val="none" w:sz="0" w:space="0" w:color="auto"/>
        <w:bottom w:val="none" w:sz="0" w:space="0" w:color="auto"/>
        <w:right w:val="none" w:sz="0" w:space="0" w:color="auto"/>
      </w:divBdr>
      <w:divsChild>
        <w:div w:id="194581885">
          <w:marLeft w:val="0"/>
          <w:marRight w:val="0"/>
          <w:marTop w:val="100"/>
          <w:marBottom w:val="100"/>
          <w:divBdr>
            <w:top w:val="none" w:sz="0" w:space="0" w:color="auto"/>
            <w:left w:val="none" w:sz="0" w:space="0" w:color="auto"/>
            <w:bottom w:val="none" w:sz="0" w:space="0" w:color="auto"/>
            <w:right w:val="none" w:sz="0" w:space="0" w:color="auto"/>
          </w:divBdr>
          <w:divsChild>
            <w:div w:id="2052029072">
              <w:marLeft w:val="0"/>
              <w:marRight w:val="0"/>
              <w:marTop w:val="0"/>
              <w:marBottom w:val="0"/>
              <w:divBdr>
                <w:top w:val="none" w:sz="0" w:space="0" w:color="auto"/>
                <w:left w:val="none" w:sz="0" w:space="0" w:color="auto"/>
                <w:bottom w:val="none" w:sz="0" w:space="0" w:color="auto"/>
                <w:right w:val="none" w:sz="0" w:space="0" w:color="auto"/>
              </w:divBdr>
              <w:divsChild>
                <w:div w:id="1865240161">
                  <w:marLeft w:val="0"/>
                  <w:marRight w:val="0"/>
                  <w:marTop w:val="0"/>
                  <w:marBottom w:val="0"/>
                  <w:divBdr>
                    <w:top w:val="none" w:sz="0" w:space="0" w:color="auto"/>
                    <w:left w:val="none" w:sz="0" w:space="0" w:color="auto"/>
                    <w:bottom w:val="none" w:sz="0" w:space="0" w:color="auto"/>
                    <w:right w:val="none" w:sz="0" w:space="0" w:color="auto"/>
                  </w:divBdr>
                  <w:divsChild>
                    <w:div w:id="1650359106">
                      <w:marLeft w:val="0"/>
                      <w:marRight w:val="0"/>
                      <w:marTop w:val="0"/>
                      <w:marBottom w:val="0"/>
                      <w:divBdr>
                        <w:top w:val="none" w:sz="0" w:space="0" w:color="auto"/>
                        <w:left w:val="none" w:sz="0" w:space="0" w:color="auto"/>
                        <w:bottom w:val="none" w:sz="0" w:space="0" w:color="auto"/>
                        <w:right w:val="none" w:sz="0" w:space="0" w:color="auto"/>
                      </w:divBdr>
                      <w:divsChild>
                        <w:div w:id="736827106">
                          <w:marLeft w:val="0"/>
                          <w:marRight w:val="0"/>
                          <w:marTop w:val="0"/>
                          <w:marBottom w:val="0"/>
                          <w:divBdr>
                            <w:top w:val="none" w:sz="0" w:space="0" w:color="auto"/>
                            <w:left w:val="none" w:sz="0" w:space="0" w:color="auto"/>
                            <w:bottom w:val="none" w:sz="0" w:space="0" w:color="auto"/>
                            <w:right w:val="none" w:sz="0" w:space="0" w:color="auto"/>
                          </w:divBdr>
                          <w:divsChild>
                            <w:div w:id="93428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3765082">
      <w:bodyDiv w:val="1"/>
      <w:marLeft w:val="0"/>
      <w:marRight w:val="0"/>
      <w:marTop w:val="0"/>
      <w:marBottom w:val="0"/>
      <w:divBdr>
        <w:top w:val="none" w:sz="0" w:space="0" w:color="auto"/>
        <w:left w:val="none" w:sz="0" w:space="0" w:color="auto"/>
        <w:bottom w:val="none" w:sz="0" w:space="0" w:color="auto"/>
        <w:right w:val="none" w:sz="0" w:space="0" w:color="auto"/>
      </w:divBdr>
      <w:divsChild>
        <w:div w:id="169754588">
          <w:marLeft w:val="0"/>
          <w:marRight w:val="0"/>
          <w:marTop w:val="100"/>
          <w:marBottom w:val="100"/>
          <w:divBdr>
            <w:top w:val="none" w:sz="0" w:space="0" w:color="auto"/>
            <w:left w:val="none" w:sz="0" w:space="0" w:color="auto"/>
            <w:bottom w:val="none" w:sz="0" w:space="0" w:color="auto"/>
            <w:right w:val="none" w:sz="0" w:space="0" w:color="auto"/>
          </w:divBdr>
          <w:divsChild>
            <w:div w:id="1006176777">
              <w:marLeft w:val="0"/>
              <w:marRight w:val="0"/>
              <w:marTop w:val="0"/>
              <w:marBottom w:val="0"/>
              <w:divBdr>
                <w:top w:val="none" w:sz="0" w:space="0" w:color="auto"/>
                <w:left w:val="none" w:sz="0" w:space="0" w:color="auto"/>
                <w:bottom w:val="none" w:sz="0" w:space="0" w:color="auto"/>
                <w:right w:val="none" w:sz="0" w:space="0" w:color="auto"/>
              </w:divBdr>
              <w:divsChild>
                <w:div w:id="1681010673">
                  <w:marLeft w:val="0"/>
                  <w:marRight w:val="0"/>
                  <w:marTop w:val="0"/>
                  <w:marBottom w:val="0"/>
                  <w:divBdr>
                    <w:top w:val="none" w:sz="0" w:space="0" w:color="auto"/>
                    <w:left w:val="none" w:sz="0" w:space="0" w:color="auto"/>
                    <w:bottom w:val="none" w:sz="0" w:space="0" w:color="auto"/>
                    <w:right w:val="none" w:sz="0" w:space="0" w:color="auto"/>
                  </w:divBdr>
                  <w:divsChild>
                    <w:div w:id="958799113">
                      <w:marLeft w:val="0"/>
                      <w:marRight w:val="0"/>
                      <w:marTop w:val="0"/>
                      <w:marBottom w:val="0"/>
                      <w:divBdr>
                        <w:top w:val="none" w:sz="0" w:space="0" w:color="auto"/>
                        <w:left w:val="none" w:sz="0" w:space="0" w:color="auto"/>
                        <w:bottom w:val="none" w:sz="0" w:space="0" w:color="auto"/>
                        <w:right w:val="none" w:sz="0" w:space="0" w:color="auto"/>
                      </w:divBdr>
                      <w:divsChild>
                        <w:div w:id="1577015757">
                          <w:marLeft w:val="0"/>
                          <w:marRight w:val="0"/>
                          <w:marTop w:val="0"/>
                          <w:marBottom w:val="0"/>
                          <w:divBdr>
                            <w:top w:val="none" w:sz="0" w:space="0" w:color="auto"/>
                            <w:left w:val="none" w:sz="0" w:space="0" w:color="auto"/>
                            <w:bottom w:val="none" w:sz="0" w:space="0" w:color="auto"/>
                            <w:right w:val="none" w:sz="0" w:space="0" w:color="auto"/>
                          </w:divBdr>
                          <w:divsChild>
                            <w:div w:id="477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58085-5176-4B72-ADCC-3057CD4B6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3421</Words>
  <Characters>19505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Robyn-Leigh Jacobsen</dc:creator>
  <cp:lastModifiedBy>Glenn Isaac</cp:lastModifiedBy>
  <cp:revision>2</cp:revision>
  <cp:lastPrinted>2013-03-06T17:24:00Z</cp:lastPrinted>
  <dcterms:created xsi:type="dcterms:W3CDTF">2013-04-16T14:50:00Z</dcterms:created>
  <dcterms:modified xsi:type="dcterms:W3CDTF">2013-04-16T14:50:00Z</dcterms:modified>
</cp:coreProperties>
</file>